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5A" w:rsidRDefault="0020535A" w:rsidP="0020535A">
      <w:pPr>
        <w:rPr>
          <w:rFonts w:cs="Helvetica"/>
          <w:b/>
          <w:sz w:val="20"/>
          <w:szCs w:val="20"/>
        </w:rPr>
      </w:pPr>
    </w:p>
    <w:p w:rsidR="0020535A" w:rsidRDefault="0020535A" w:rsidP="0020535A">
      <w:pPr>
        <w:rPr>
          <w:rFonts w:cs="Helvetica"/>
          <w:b/>
          <w:sz w:val="20"/>
          <w:szCs w:val="20"/>
        </w:rPr>
      </w:pPr>
    </w:p>
    <w:p w:rsidR="003A676E" w:rsidRDefault="003A676E" w:rsidP="00B4570E">
      <w:pPr>
        <w:spacing w:line="264" w:lineRule="auto"/>
        <w:rPr>
          <w:b/>
          <w:sz w:val="28"/>
          <w:szCs w:val="28"/>
          <w:lang w:val="nl-NL"/>
        </w:rPr>
      </w:pPr>
    </w:p>
    <w:p w:rsidR="00B4570E" w:rsidRPr="00B4570E" w:rsidRDefault="003A676E" w:rsidP="00B4570E">
      <w:pPr>
        <w:spacing w:line="264" w:lineRule="auto"/>
        <w:rPr>
          <w:sz w:val="20"/>
          <w:szCs w:val="20"/>
          <w:lang w:val="nl-NL"/>
        </w:rPr>
      </w:pPr>
      <w:r>
        <w:rPr>
          <w:b/>
          <w:sz w:val="28"/>
          <w:szCs w:val="28"/>
          <w:lang w:val="nl-NL"/>
        </w:rPr>
        <w:t>Nationale Studenten Enquête 2018</w:t>
      </w:r>
      <w:r w:rsidR="00B4570E">
        <w:rPr>
          <w:b/>
          <w:sz w:val="28"/>
          <w:szCs w:val="28"/>
          <w:lang w:val="nl-NL"/>
        </w:rPr>
        <w:br/>
      </w:r>
      <w:r w:rsidR="00B4570E" w:rsidRPr="00B4570E">
        <w:rPr>
          <w:b/>
          <w:sz w:val="20"/>
          <w:szCs w:val="20"/>
          <w:lang w:val="nl-NL"/>
        </w:rPr>
        <w:t>Totaalbeeld aandeel tevreden studenten bij bekostigde hbo-opleidingen</w:t>
      </w:r>
    </w:p>
    <w:tbl>
      <w:tblPr>
        <w:tblW w:w="9570" w:type="dxa"/>
        <w:tblInd w:w="70" w:type="dxa"/>
        <w:tblCellMar>
          <w:left w:w="70" w:type="dxa"/>
          <w:right w:w="70" w:type="dxa"/>
        </w:tblCellMar>
        <w:tblLook w:val="04A0" w:firstRow="1" w:lastRow="0" w:firstColumn="1" w:lastColumn="0" w:noHBand="0" w:noVBand="1"/>
      </w:tblPr>
      <w:tblGrid>
        <w:gridCol w:w="3515"/>
        <w:gridCol w:w="934"/>
        <w:gridCol w:w="894"/>
        <w:gridCol w:w="833"/>
        <w:gridCol w:w="894"/>
        <w:gridCol w:w="853"/>
        <w:gridCol w:w="812"/>
        <w:gridCol w:w="835"/>
      </w:tblGrid>
      <w:tr w:rsidR="003A676E" w:rsidRPr="00B4570E" w:rsidTr="003A676E">
        <w:trPr>
          <w:trHeight w:val="294"/>
        </w:trPr>
        <w:tc>
          <w:tcPr>
            <w:tcW w:w="3515" w:type="dxa"/>
            <w:tcBorders>
              <w:top w:val="single" w:sz="8" w:space="0" w:color="auto"/>
              <w:left w:val="nil"/>
              <w:bottom w:val="single" w:sz="8" w:space="0" w:color="auto"/>
              <w:right w:val="nil"/>
            </w:tcBorders>
            <w:shd w:val="clear" w:color="auto" w:fill="auto"/>
            <w:noWrap/>
            <w:vAlign w:val="center"/>
            <w:hideMark/>
          </w:tcPr>
          <w:p w:rsidR="003A676E" w:rsidRPr="00B4570E" w:rsidRDefault="003A676E" w:rsidP="003A676E">
            <w:pPr>
              <w:rPr>
                <w:b/>
                <w:bCs/>
                <w:color w:val="000000"/>
                <w:sz w:val="20"/>
                <w:szCs w:val="20"/>
                <w:lang w:val="nl-NL"/>
              </w:rPr>
            </w:pPr>
            <w:r w:rsidRPr="00B4570E">
              <w:rPr>
                <w:b/>
                <w:bCs/>
                <w:color w:val="000000"/>
                <w:sz w:val="20"/>
                <w:szCs w:val="20"/>
                <w:lang w:val="nl-NL"/>
              </w:rPr>
              <w:t> </w:t>
            </w:r>
          </w:p>
        </w:tc>
        <w:tc>
          <w:tcPr>
            <w:tcW w:w="934" w:type="dxa"/>
            <w:tcBorders>
              <w:top w:val="single" w:sz="8" w:space="0" w:color="auto"/>
              <w:left w:val="nil"/>
              <w:bottom w:val="single" w:sz="8" w:space="0" w:color="auto"/>
              <w:right w:val="nil"/>
            </w:tcBorders>
            <w:shd w:val="clear" w:color="auto" w:fill="auto"/>
            <w:noWrap/>
            <w:vAlign w:val="center"/>
            <w:hideMark/>
          </w:tcPr>
          <w:p w:rsidR="003A676E" w:rsidRPr="00B4570E" w:rsidRDefault="003A676E" w:rsidP="003A676E">
            <w:pPr>
              <w:jc w:val="center"/>
              <w:rPr>
                <w:b/>
                <w:bCs/>
                <w:color w:val="000000"/>
                <w:sz w:val="20"/>
                <w:szCs w:val="20"/>
              </w:rPr>
            </w:pPr>
            <w:r w:rsidRPr="00B4570E">
              <w:rPr>
                <w:b/>
                <w:bCs/>
                <w:color w:val="000000"/>
                <w:sz w:val="20"/>
                <w:szCs w:val="20"/>
              </w:rPr>
              <w:t>2012</w:t>
            </w:r>
          </w:p>
        </w:tc>
        <w:tc>
          <w:tcPr>
            <w:tcW w:w="894"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sidRPr="00B4570E">
              <w:rPr>
                <w:b/>
                <w:bCs/>
                <w:color w:val="000000"/>
                <w:sz w:val="20"/>
                <w:szCs w:val="20"/>
              </w:rPr>
              <w:t>2013</w:t>
            </w:r>
          </w:p>
        </w:tc>
        <w:tc>
          <w:tcPr>
            <w:tcW w:w="833"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sidRPr="00B4570E">
              <w:rPr>
                <w:b/>
                <w:bCs/>
                <w:color w:val="000000"/>
                <w:sz w:val="20"/>
                <w:szCs w:val="20"/>
              </w:rPr>
              <w:t>2014</w:t>
            </w:r>
          </w:p>
        </w:tc>
        <w:tc>
          <w:tcPr>
            <w:tcW w:w="894"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sidRPr="00B4570E">
              <w:rPr>
                <w:b/>
                <w:bCs/>
                <w:color w:val="000000"/>
                <w:sz w:val="20"/>
                <w:szCs w:val="20"/>
              </w:rPr>
              <w:t>2015</w:t>
            </w:r>
          </w:p>
        </w:tc>
        <w:tc>
          <w:tcPr>
            <w:tcW w:w="853"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sidRPr="00B4570E">
              <w:rPr>
                <w:b/>
                <w:bCs/>
                <w:color w:val="000000"/>
                <w:sz w:val="20"/>
                <w:szCs w:val="20"/>
              </w:rPr>
              <w:t>2016</w:t>
            </w:r>
          </w:p>
        </w:tc>
        <w:tc>
          <w:tcPr>
            <w:tcW w:w="812"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sidRPr="00B4570E">
              <w:rPr>
                <w:b/>
                <w:bCs/>
                <w:color w:val="000000"/>
                <w:sz w:val="20"/>
                <w:szCs w:val="20"/>
              </w:rPr>
              <w:t>2017</w:t>
            </w:r>
          </w:p>
        </w:tc>
        <w:tc>
          <w:tcPr>
            <w:tcW w:w="835" w:type="dxa"/>
            <w:tcBorders>
              <w:top w:val="single" w:sz="8" w:space="0" w:color="auto"/>
              <w:left w:val="nil"/>
              <w:bottom w:val="single" w:sz="8" w:space="0" w:color="auto"/>
              <w:right w:val="nil"/>
            </w:tcBorders>
            <w:shd w:val="clear" w:color="auto" w:fill="auto"/>
            <w:noWrap/>
            <w:vAlign w:val="center"/>
          </w:tcPr>
          <w:p w:rsidR="003A676E" w:rsidRPr="00B4570E" w:rsidRDefault="003A676E" w:rsidP="003A676E">
            <w:pPr>
              <w:jc w:val="center"/>
              <w:rPr>
                <w:b/>
                <w:bCs/>
                <w:color w:val="000000"/>
                <w:sz w:val="20"/>
                <w:szCs w:val="20"/>
              </w:rPr>
            </w:pPr>
            <w:r>
              <w:rPr>
                <w:b/>
                <w:bCs/>
                <w:color w:val="000000"/>
                <w:sz w:val="20"/>
                <w:szCs w:val="20"/>
              </w:rPr>
              <w:t>2018</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studie in het algemeen</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66,6%</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67,3%</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69,0%</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72,4%</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74,9%</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75,2%</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72,2%</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inhoud van de opleiding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54,5%</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52,8%</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54,0%</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58,2%</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60,0%</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61,2%</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60,3%</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verworven algemene vaardigheden</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65,4%</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62,5%</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63,1%</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68,2%</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70,1%</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70,5%</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69,2%</w:t>
            </w:r>
          </w:p>
        </w:tc>
      </w:tr>
      <w:tr w:rsidR="003A676E" w:rsidRPr="00B4570E" w:rsidTr="003A676E">
        <w:trPr>
          <w:trHeight w:val="505"/>
        </w:trPr>
        <w:tc>
          <w:tcPr>
            <w:tcW w:w="3515" w:type="dxa"/>
            <w:tcBorders>
              <w:top w:val="nil"/>
              <w:left w:val="nil"/>
              <w:bottom w:val="nil"/>
              <w:right w:val="nil"/>
            </w:tcBorders>
            <w:shd w:val="clear" w:color="auto" w:fill="auto"/>
            <w:vAlign w:val="center"/>
            <w:hideMark/>
          </w:tcPr>
          <w:p w:rsidR="003A676E" w:rsidRPr="00B4570E" w:rsidRDefault="003A676E" w:rsidP="003A676E">
            <w:pPr>
              <w:rPr>
                <w:color w:val="000000"/>
                <w:sz w:val="20"/>
                <w:szCs w:val="20"/>
              </w:rPr>
            </w:pPr>
            <w:r w:rsidRPr="00B4570E">
              <w:rPr>
                <w:color w:val="000000"/>
                <w:sz w:val="20"/>
                <w:szCs w:val="20"/>
              </w:rPr>
              <w:t>verworven vaardigheden praktijkgericht onderzoek</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49,1%</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45,1%</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46,7%</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51,8%</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53,2%</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60,8%</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60,3%</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voorbereiding op de beroepsloopbaan</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60,3%</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57,6%</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58,1%</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61,6%</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63,0%</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64,4%</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63,1%</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aansluiting beroepspraktijk*</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60,9%</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59,3%</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docenten</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53,9%</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50,3%</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51,9%</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55,7%</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57,7%</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59,8%</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59,8%</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informatie vanuit de opleiding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37,9%</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29,4%</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31,4%</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35,7%</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37,3%</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38,8%</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40,1%</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studiefaciliteiten van de opleiding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44,5%</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41,6%</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41,0%</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45,5%</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48,0%</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50,7%</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52,5%</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toetsing en beoordeling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43,5%</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46,8%</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48,2%</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53,1%</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54,8%</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55,7%</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55,8%</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studieroosters</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34,9%</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32,9%</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35,4%</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35,4%</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36,3%</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40,3%</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42,1%</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studielast</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44,6%</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37,9%</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38,2%</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41,9%</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42,8%</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45,7%</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46,4%</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studiebegeleiding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52,0%</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47,9%</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49,3%</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52,8%</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54,7%</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56,3%</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56,7%</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stagebegeleiding vanuit opleiding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45,2%</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44,6%</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45,5%</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48,1%</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49,2%</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49,4%</w:t>
            </w:r>
          </w:p>
        </w:tc>
        <w:tc>
          <w:tcPr>
            <w:tcW w:w="835"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Pr>
                <w:color w:val="000000"/>
                <w:sz w:val="20"/>
                <w:szCs w:val="20"/>
              </w:rPr>
              <w:t>50,0%</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stage ervaring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72,1%</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72,2%</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73,9%</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74,1%</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74,7%</w:t>
            </w:r>
          </w:p>
        </w:tc>
        <w:tc>
          <w:tcPr>
            <w:tcW w:w="835" w:type="dxa"/>
            <w:tcBorders>
              <w:top w:val="nil"/>
              <w:left w:val="nil"/>
              <w:bottom w:val="nil"/>
              <w:right w:val="nil"/>
            </w:tcBorders>
            <w:shd w:val="clear" w:color="auto" w:fill="auto"/>
            <w:noWrap/>
            <w:vAlign w:val="center"/>
          </w:tcPr>
          <w:p w:rsidR="003A676E" w:rsidRPr="00B4570E" w:rsidRDefault="006765A2" w:rsidP="003A676E">
            <w:pPr>
              <w:jc w:val="center"/>
              <w:rPr>
                <w:color w:val="000000"/>
                <w:sz w:val="20"/>
                <w:szCs w:val="20"/>
              </w:rPr>
            </w:pPr>
            <w:r>
              <w:rPr>
                <w:color w:val="000000"/>
                <w:sz w:val="20"/>
                <w:szCs w:val="20"/>
              </w:rPr>
              <w:t>74,6%</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uitdagend onderwijs*</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48,7%</w:t>
            </w:r>
          </w:p>
        </w:tc>
        <w:tc>
          <w:tcPr>
            <w:tcW w:w="835" w:type="dxa"/>
            <w:tcBorders>
              <w:top w:val="nil"/>
              <w:left w:val="nil"/>
              <w:bottom w:val="nil"/>
              <w:right w:val="nil"/>
            </w:tcBorders>
            <w:shd w:val="clear" w:color="auto" w:fill="auto"/>
            <w:noWrap/>
            <w:vAlign w:val="center"/>
          </w:tcPr>
          <w:p w:rsidR="003A676E" w:rsidRPr="00B4570E" w:rsidRDefault="006765A2" w:rsidP="003A676E">
            <w:pPr>
              <w:jc w:val="center"/>
              <w:rPr>
                <w:color w:val="000000"/>
                <w:sz w:val="20"/>
                <w:szCs w:val="20"/>
              </w:rPr>
            </w:pPr>
            <w:r>
              <w:rPr>
                <w:color w:val="000000"/>
                <w:sz w:val="20"/>
                <w:szCs w:val="20"/>
              </w:rPr>
              <w:t>49,0%</w:t>
            </w:r>
          </w:p>
        </w:tc>
      </w:tr>
      <w:tr w:rsidR="003A676E" w:rsidRPr="00B4570E" w:rsidTr="003A676E">
        <w:trPr>
          <w:trHeight w:val="280"/>
        </w:trPr>
        <w:tc>
          <w:tcPr>
            <w:tcW w:w="3515" w:type="dxa"/>
            <w:tcBorders>
              <w:top w:val="nil"/>
              <w:left w:val="nil"/>
              <w:bottom w:val="nil"/>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internationalisering*</w:t>
            </w:r>
          </w:p>
        </w:tc>
        <w:tc>
          <w:tcPr>
            <w:tcW w:w="934" w:type="dxa"/>
            <w:tcBorders>
              <w:top w:val="nil"/>
              <w:left w:val="nil"/>
              <w:bottom w:val="nil"/>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3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94"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53"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w:t>
            </w:r>
          </w:p>
        </w:tc>
        <w:tc>
          <w:tcPr>
            <w:tcW w:w="812" w:type="dxa"/>
            <w:tcBorders>
              <w:top w:val="nil"/>
              <w:left w:val="nil"/>
              <w:bottom w:val="nil"/>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35,9%</w:t>
            </w:r>
          </w:p>
        </w:tc>
        <w:tc>
          <w:tcPr>
            <w:tcW w:w="835" w:type="dxa"/>
            <w:tcBorders>
              <w:top w:val="nil"/>
              <w:left w:val="nil"/>
              <w:bottom w:val="nil"/>
              <w:right w:val="nil"/>
            </w:tcBorders>
            <w:shd w:val="clear" w:color="auto" w:fill="auto"/>
            <w:noWrap/>
            <w:vAlign w:val="center"/>
          </w:tcPr>
          <w:p w:rsidR="003A676E" w:rsidRPr="00B4570E" w:rsidRDefault="006765A2" w:rsidP="003A676E">
            <w:pPr>
              <w:jc w:val="center"/>
              <w:rPr>
                <w:color w:val="000000"/>
                <w:sz w:val="20"/>
                <w:szCs w:val="20"/>
              </w:rPr>
            </w:pPr>
            <w:r>
              <w:rPr>
                <w:color w:val="000000"/>
                <w:sz w:val="20"/>
                <w:szCs w:val="20"/>
              </w:rPr>
              <w:t>36,9%</w:t>
            </w:r>
          </w:p>
        </w:tc>
      </w:tr>
      <w:tr w:rsidR="003A676E" w:rsidRPr="00B4570E" w:rsidTr="003A676E">
        <w:trPr>
          <w:trHeight w:val="294"/>
        </w:trPr>
        <w:tc>
          <w:tcPr>
            <w:tcW w:w="3515" w:type="dxa"/>
            <w:tcBorders>
              <w:top w:val="nil"/>
              <w:left w:val="nil"/>
              <w:bottom w:val="single" w:sz="8" w:space="0" w:color="auto"/>
              <w:right w:val="nil"/>
            </w:tcBorders>
            <w:shd w:val="clear" w:color="auto" w:fill="auto"/>
            <w:noWrap/>
            <w:vAlign w:val="center"/>
            <w:hideMark/>
          </w:tcPr>
          <w:p w:rsidR="003A676E" w:rsidRPr="00B4570E" w:rsidRDefault="003A676E" w:rsidP="003A676E">
            <w:pPr>
              <w:rPr>
                <w:color w:val="000000"/>
                <w:sz w:val="20"/>
                <w:szCs w:val="20"/>
              </w:rPr>
            </w:pPr>
            <w:r w:rsidRPr="00B4570E">
              <w:rPr>
                <w:color w:val="000000"/>
                <w:sz w:val="20"/>
                <w:szCs w:val="20"/>
              </w:rPr>
              <w:t>kwaliteitszorg</w:t>
            </w:r>
          </w:p>
        </w:tc>
        <w:tc>
          <w:tcPr>
            <w:tcW w:w="934" w:type="dxa"/>
            <w:tcBorders>
              <w:top w:val="nil"/>
              <w:left w:val="nil"/>
              <w:bottom w:val="single" w:sz="8" w:space="0" w:color="auto"/>
              <w:right w:val="nil"/>
            </w:tcBorders>
            <w:shd w:val="clear" w:color="auto" w:fill="auto"/>
            <w:noWrap/>
            <w:vAlign w:val="center"/>
            <w:hideMark/>
          </w:tcPr>
          <w:p w:rsidR="003A676E" w:rsidRPr="00B4570E" w:rsidRDefault="003A676E" w:rsidP="003A676E">
            <w:pPr>
              <w:jc w:val="center"/>
              <w:rPr>
                <w:color w:val="000000"/>
                <w:sz w:val="20"/>
                <w:szCs w:val="20"/>
              </w:rPr>
            </w:pPr>
            <w:r w:rsidRPr="00B4570E">
              <w:rPr>
                <w:color w:val="000000"/>
                <w:sz w:val="20"/>
                <w:szCs w:val="20"/>
              </w:rPr>
              <w:t>29,5%</w:t>
            </w:r>
          </w:p>
        </w:tc>
        <w:tc>
          <w:tcPr>
            <w:tcW w:w="894" w:type="dxa"/>
            <w:tcBorders>
              <w:top w:val="nil"/>
              <w:left w:val="nil"/>
              <w:bottom w:val="single" w:sz="8" w:space="0" w:color="auto"/>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27,4%</w:t>
            </w:r>
          </w:p>
        </w:tc>
        <w:tc>
          <w:tcPr>
            <w:tcW w:w="833" w:type="dxa"/>
            <w:tcBorders>
              <w:top w:val="nil"/>
              <w:left w:val="nil"/>
              <w:bottom w:val="single" w:sz="8" w:space="0" w:color="auto"/>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29,5%</w:t>
            </w:r>
          </w:p>
        </w:tc>
        <w:tc>
          <w:tcPr>
            <w:tcW w:w="894" w:type="dxa"/>
            <w:tcBorders>
              <w:top w:val="nil"/>
              <w:left w:val="nil"/>
              <w:bottom w:val="single" w:sz="8" w:space="0" w:color="auto"/>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33,6%</w:t>
            </w:r>
          </w:p>
        </w:tc>
        <w:tc>
          <w:tcPr>
            <w:tcW w:w="853" w:type="dxa"/>
            <w:tcBorders>
              <w:top w:val="nil"/>
              <w:left w:val="nil"/>
              <w:bottom w:val="single" w:sz="8" w:space="0" w:color="auto"/>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34,6%</w:t>
            </w:r>
          </w:p>
        </w:tc>
        <w:tc>
          <w:tcPr>
            <w:tcW w:w="812" w:type="dxa"/>
            <w:tcBorders>
              <w:top w:val="nil"/>
              <w:left w:val="nil"/>
              <w:bottom w:val="single" w:sz="8" w:space="0" w:color="auto"/>
              <w:right w:val="nil"/>
            </w:tcBorders>
            <w:shd w:val="clear" w:color="auto" w:fill="auto"/>
            <w:noWrap/>
            <w:vAlign w:val="center"/>
          </w:tcPr>
          <w:p w:rsidR="003A676E" w:rsidRPr="00B4570E" w:rsidRDefault="003A676E" w:rsidP="003A676E">
            <w:pPr>
              <w:jc w:val="center"/>
              <w:rPr>
                <w:color w:val="000000"/>
                <w:sz w:val="20"/>
                <w:szCs w:val="20"/>
              </w:rPr>
            </w:pPr>
            <w:r w:rsidRPr="00B4570E">
              <w:rPr>
                <w:color w:val="000000"/>
                <w:sz w:val="20"/>
                <w:szCs w:val="20"/>
              </w:rPr>
              <w:t>35,8%</w:t>
            </w:r>
          </w:p>
        </w:tc>
        <w:tc>
          <w:tcPr>
            <w:tcW w:w="835" w:type="dxa"/>
            <w:tcBorders>
              <w:top w:val="nil"/>
              <w:left w:val="nil"/>
              <w:bottom w:val="single" w:sz="8" w:space="0" w:color="auto"/>
              <w:right w:val="nil"/>
            </w:tcBorders>
            <w:shd w:val="clear" w:color="auto" w:fill="auto"/>
            <w:noWrap/>
            <w:vAlign w:val="center"/>
          </w:tcPr>
          <w:p w:rsidR="003A676E" w:rsidRPr="00B4570E" w:rsidRDefault="006765A2" w:rsidP="003A676E">
            <w:pPr>
              <w:jc w:val="center"/>
              <w:rPr>
                <w:color w:val="000000"/>
                <w:sz w:val="20"/>
                <w:szCs w:val="20"/>
              </w:rPr>
            </w:pPr>
            <w:r>
              <w:rPr>
                <w:color w:val="000000"/>
                <w:sz w:val="20"/>
                <w:szCs w:val="20"/>
              </w:rPr>
              <w:t>37,5%</w:t>
            </w:r>
          </w:p>
        </w:tc>
      </w:tr>
      <w:tr w:rsidR="00B4570E" w:rsidRPr="003A676E" w:rsidTr="00B4570E">
        <w:trPr>
          <w:trHeight w:val="280"/>
        </w:trPr>
        <w:tc>
          <w:tcPr>
            <w:tcW w:w="4449" w:type="dxa"/>
            <w:gridSpan w:val="2"/>
            <w:tcBorders>
              <w:top w:val="single" w:sz="8" w:space="0" w:color="auto"/>
              <w:left w:val="nil"/>
              <w:bottom w:val="nil"/>
              <w:right w:val="nil"/>
            </w:tcBorders>
            <w:shd w:val="clear" w:color="auto" w:fill="auto"/>
            <w:noWrap/>
            <w:vAlign w:val="center"/>
            <w:hideMark/>
          </w:tcPr>
          <w:p w:rsidR="006765A2" w:rsidRPr="00B4570E" w:rsidRDefault="00B4570E" w:rsidP="000837FE">
            <w:pPr>
              <w:rPr>
                <w:color w:val="000000"/>
                <w:sz w:val="20"/>
                <w:szCs w:val="20"/>
                <w:lang w:val="nl-NL"/>
              </w:rPr>
            </w:pPr>
            <w:r w:rsidRPr="00B4570E">
              <w:rPr>
                <w:color w:val="000000"/>
                <w:sz w:val="20"/>
                <w:szCs w:val="20"/>
                <w:lang w:val="nl-NL"/>
              </w:rPr>
              <w:t>*Nieuw opgenomen in de NSE sinds 2017</w:t>
            </w:r>
          </w:p>
        </w:tc>
        <w:tc>
          <w:tcPr>
            <w:tcW w:w="894" w:type="dxa"/>
            <w:tcBorders>
              <w:top w:val="nil"/>
              <w:left w:val="nil"/>
              <w:bottom w:val="nil"/>
              <w:right w:val="nil"/>
            </w:tcBorders>
            <w:shd w:val="clear" w:color="auto" w:fill="auto"/>
            <w:noWrap/>
            <w:vAlign w:val="bottom"/>
            <w:hideMark/>
          </w:tcPr>
          <w:p w:rsidR="00B4570E" w:rsidRPr="00B4570E" w:rsidRDefault="00B4570E" w:rsidP="000837FE">
            <w:pPr>
              <w:rPr>
                <w:color w:val="000000"/>
                <w:sz w:val="20"/>
                <w:szCs w:val="20"/>
                <w:lang w:val="nl-NL"/>
              </w:rPr>
            </w:pPr>
          </w:p>
        </w:tc>
        <w:tc>
          <w:tcPr>
            <w:tcW w:w="833" w:type="dxa"/>
            <w:tcBorders>
              <w:top w:val="nil"/>
              <w:left w:val="nil"/>
              <w:bottom w:val="nil"/>
              <w:right w:val="nil"/>
            </w:tcBorders>
            <w:shd w:val="clear" w:color="auto" w:fill="auto"/>
            <w:noWrap/>
            <w:vAlign w:val="bottom"/>
            <w:hideMark/>
          </w:tcPr>
          <w:p w:rsidR="00B4570E" w:rsidRPr="00B4570E" w:rsidRDefault="00B4570E" w:rsidP="000837FE">
            <w:pPr>
              <w:rPr>
                <w:sz w:val="20"/>
                <w:szCs w:val="20"/>
                <w:lang w:val="nl-NL"/>
              </w:rPr>
            </w:pPr>
          </w:p>
        </w:tc>
        <w:tc>
          <w:tcPr>
            <w:tcW w:w="894" w:type="dxa"/>
            <w:tcBorders>
              <w:top w:val="nil"/>
              <w:left w:val="nil"/>
              <w:bottom w:val="nil"/>
              <w:right w:val="nil"/>
            </w:tcBorders>
            <w:shd w:val="clear" w:color="auto" w:fill="auto"/>
            <w:noWrap/>
            <w:vAlign w:val="bottom"/>
            <w:hideMark/>
          </w:tcPr>
          <w:p w:rsidR="00B4570E" w:rsidRPr="00B4570E" w:rsidRDefault="00B4570E" w:rsidP="000837FE">
            <w:pPr>
              <w:rPr>
                <w:sz w:val="20"/>
                <w:szCs w:val="20"/>
                <w:lang w:val="nl-NL"/>
              </w:rPr>
            </w:pPr>
          </w:p>
        </w:tc>
        <w:tc>
          <w:tcPr>
            <w:tcW w:w="853" w:type="dxa"/>
            <w:tcBorders>
              <w:top w:val="nil"/>
              <w:left w:val="nil"/>
              <w:bottom w:val="nil"/>
              <w:right w:val="nil"/>
            </w:tcBorders>
            <w:shd w:val="clear" w:color="auto" w:fill="auto"/>
            <w:noWrap/>
            <w:vAlign w:val="bottom"/>
            <w:hideMark/>
          </w:tcPr>
          <w:p w:rsidR="00B4570E" w:rsidRPr="00B4570E" w:rsidRDefault="00B4570E" w:rsidP="000837FE">
            <w:pPr>
              <w:rPr>
                <w:sz w:val="20"/>
                <w:szCs w:val="20"/>
                <w:lang w:val="nl-NL"/>
              </w:rPr>
            </w:pPr>
          </w:p>
        </w:tc>
        <w:tc>
          <w:tcPr>
            <w:tcW w:w="812" w:type="dxa"/>
            <w:tcBorders>
              <w:top w:val="nil"/>
              <w:left w:val="nil"/>
              <w:bottom w:val="nil"/>
              <w:right w:val="nil"/>
            </w:tcBorders>
            <w:shd w:val="clear" w:color="auto" w:fill="auto"/>
            <w:noWrap/>
            <w:vAlign w:val="bottom"/>
            <w:hideMark/>
          </w:tcPr>
          <w:p w:rsidR="00B4570E" w:rsidRPr="00B4570E" w:rsidRDefault="00B4570E" w:rsidP="000837FE">
            <w:pPr>
              <w:rPr>
                <w:sz w:val="20"/>
                <w:szCs w:val="20"/>
                <w:lang w:val="nl-NL"/>
              </w:rPr>
            </w:pPr>
          </w:p>
        </w:tc>
        <w:tc>
          <w:tcPr>
            <w:tcW w:w="835" w:type="dxa"/>
            <w:tcBorders>
              <w:top w:val="nil"/>
              <w:left w:val="nil"/>
              <w:bottom w:val="nil"/>
              <w:right w:val="nil"/>
            </w:tcBorders>
            <w:shd w:val="clear" w:color="auto" w:fill="auto"/>
            <w:noWrap/>
            <w:vAlign w:val="bottom"/>
            <w:hideMark/>
          </w:tcPr>
          <w:p w:rsidR="00B4570E" w:rsidRPr="00B4570E" w:rsidRDefault="00B4570E" w:rsidP="000837FE">
            <w:pPr>
              <w:rPr>
                <w:sz w:val="20"/>
                <w:szCs w:val="20"/>
                <w:lang w:val="nl-NL"/>
              </w:rPr>
            </w:pPr>
          </w:p>
        </w:tc>
      </w:tr>
    </w:tbl>
    <w:p w:rsidR="00B4570E" w:rsidRPr="00B4570E" w:rsidRDefault="00B4570E" w:rsidP="00B4570E">
      <w:pPr>
        <w:rPr>
          <w:b/>
          <w:sz w:val="20"/>
          <w:szCs w:val="20"/>
          <w:lang w:val="nl-NL"/>
        </w:rPr>
      </w:pPr>
      <w:r w:rsidRPr="00B4570E">
        <w:rPr>
          <w:b/>
          <w:sz w:val="20"/>
          <w:szCs w:val="20"/>
          <w:lang w:val="nl-NL"/>
        </w:rPr>
        <w:t xml:space="preserve">Hoofdlijn </w:t>
      </w:r>
    </w:p>
    <w:p w:rsidR="00B4570E" w:rsidRPr="00B4570E" w:rsidRDefault="00B4570E" w:rsidP="00B4570E">
      <w:pPr>
        <w:rPr>
          <w:sz w:val="20"/>
          <w:szCs w:val="20"/>
          <w:lang w:val="nl-NL"/>
        </w:rPr>
      </w:pPr>
      <w:r w:rsidRPr="00B4570E">
        <w:rPr>
          <w:sz w:val="20"/>
          <w:szCs w:val="20"/>
          <w:lang w:val="nl-NL"/>
        </w:rPr>
        <w:t>- De algemene tevredenheid over de studie is</w:t>
      </w:r>
      <w:r w:rsidR="006765A2">
        <w:rPr>
          <w:sz w:val="20"/>
          <w:szCs w:val="20"/>
          <w:lang w:val="nl-NL"/>
        </w:rPr>
        <w:t xml:space="preserve"> na jaren van stijging licht afgenomen: </w:t>
      </w:r>
      <w:r w:rsidRPr="00B4570E">
        <w:rPr>
          <w:sz w:val="20"/>
          <w:szCs w:val="20"/>
          <w:lang w:val="nl-NL"/>
        </w:rPr>
        <w:t>in 201</w:t>
      </w:r>
      <w:r w:rsidR="006765A2">
        <w:rPr>
          <w:sz w:val="20"/>
          <w:szCs w:val="20"/>
          <w:lang w:val="nl-NL"/>
        </w:rPr>
        <w:t>8</w:t>
      </w:r>
      <w:r w:rsidRPr="00B4570E">
        <w:rPr>
          <w:sz w:val="20"/>
          <w:szCs w:val="20"/>
          <w:lang w:val="nl-NL"/>
        </w:rPr>
        <w:t xml:space="preserve"> is 7</w:t>
      </w:r>
      <w:r w:rsidR="006765A2">
        <w:rPr>
          <w:sz w:val="20"/>
          <w:szCs w:val="20"/>
          <w:lang w:val="nl-NL"/>
        </w:rPr>
        <w:t>2,2%</w:t>
      </w:r>
      <w:r w:rsidRPr="00B4570E">
        <w:rPr>
          <w:sz w:val="20"/>
          <w:szCs w:val="20"/>
          <w:lang w:val="nl-NL"/>
        </w:rPr>
        <w:t xml:space="preserve"> van de </w:t>
      </w:r>
      <w:r w:rsidR="006765A2">
        <w:rPr>
          <w:sz w:val="20"/>
          <w:szCs w:val="20"/>
          <w:lang w:val="nl-NL"/>
        </w:rPr>
        <w:t>hbo-</w:t>
      </w:r>
      <w:r w:rsidRPr="00B4570E">
        <w:rPr>
          <w:sz w:val="20"/>
          <w:szCs w:val="20"/>
          <w:lang w:val="nl-NL"/>
        </w:rPr>
        <w:t>student</w:t>
      </w:r>
      <w:r w:rsidR="006765A2">
        <w:rPr>
          <w:sz w:val="20"/>
          <w:szCs w:val="20"/>
          <w:lang w:val="nl-NL"/>
        </w:rPr>
        <w:t xml:space="preserve">en (zeer) tevreden over de studie, </w:t>
      </w:r>
      <w:r w:rsidRPr="00B4570E">
        <w:rPr>
          <w:sz w:val="20"/>
          <w:szCs w:val="20"/>
          <w:lang w:val="nl-NL"/>
        </w:rPr>
        <w:t>in 201</w:t>
      </w:r>
      <w:r w:rsidR="006765A2">
        <w:rPr>
          <w:sz w:val="20"/>
          <w:szCs w:val="20"/>
          <w:lang w:val="nl-NL"/>
        </w:rPr>
        <w:t>7</w:t>
      </w:r>
      <w:r w:rsidRPr="00B4570E">
        <w:rPr>
          <w:sz w:val="20"/>
          <w:szCs w:val="20"/>
          <w:lang w:val="nl-NL"/>
        </w:rPr>
        <w:t xml:space="preserve"> </w:t>
      </w:r>
      <w:r w:rsidR="006765A2">
        <w:rPr>
          <w:sz w:val="20"/>
          <w:szCs w:val="20"/>
          <w:lang w:val="nl-NL"/>
        </w:rPr>
        <w:t>was dit 75,2%</w:t>
      </w:r>
      <w:r w:rsidRPr="00B4570E">
        <w:rPr>
          <w:sz w:val="20"/>
          <w:szCs w:val="20"/>
          <w:lang w:val="nl-NL"/>
        </w:rPr>
        <w:t>.</w:t>
      </w:r>
    </w:p>
    <w:p w:rsidR="00B4570E" w:rsidRPr="00B4570E" w:rsidRDefault="00B4570E" w:rsidP="00B4570E">
      <w:pPr>
        <w:rPr>
          <w:sz w:val="20"/>
          <w:szCs w:val="20"/>
          <w:lang w:val="nl-NL"/>
        </w:rPr>
      </w:pPr>
      <w:r w:rsidRPr="00B4570E">
        <w:rPr>
          <w:sz w:val="20"/>
          <w:szCs w:val="20"/>
          <w:lang w:val="nl-NL"/>
        </w:rPr>
        <w:t>- Studenten in het hbo zijn vooral (zeer) tevreden over de</w:t>
      </w:r>
      <w:r w:rsidR="006765A2">
        <w:rPr>
          <w:sz w:val="20"/>
          <w:szCs w:val="20"/>
          <w:lang w:val="nl-NL"/>
        </w:rPr>
        <w:t xml:space="preserve"> stage, de</w:t>
      </w:r>
      <w:r w:rsidRPr="00B4570E">
        <w:rPr>
          <w:sz w:val="20"/>
          <w:szCs w:val="20"/>
          <w:lang w:val="nl-NL"/>
        </w:rPr>
        <w:t xml:space="preserve"> </w:t>
      </w:r>
      <w:r w:rsidR="006765A2">
        <w:rPr>
          <w:sz w:val="20"/>
          <w:szCs w:val="20"/>
          <w:lang w:val="nl-NL"/>
        </w:rPr>
        <w:t>verworven algemene vaardigheden en</w:t>
      </w:r>
      <w:r w:rsidRPr="00B4570E">
        <w:rPr>
          <w:sz w:val="20"/>
          <w:szCs w:val="20"/>
          <w:lang w:val="nl-NL"/>
        </w:rPr>
        <w:t xml:space="preserve"> de voorbereiding op de beroepsloopbaan. </w:t>
      </w:r>
      <w:r w:rsidR="006765A2">
        <w:rPr>
          <w:sz w:val="20"/>
          <w:szCs w:val="20"/>
          <w:lang w:val="nl-NL"/>
        </w:rPr>
        <w:t xml:space="preserve">Ook </w:t>
      </w:r>
      <w:r w:rsidR="0062051E">
        <w:rPr>
          <w:sz w:val="20"/>
          <w:szCs w:val="20"/>
          <w:lang w:val="nl-NL"/>
        </w:rPr>
        <w:t xml:space="preserve">over de inhoud van de opleiding en vaardigheden op het gebied van praktijkgericht onderzoek zijn studenten goed te spreken. </w:t>
      </w:r>
      <w:r w:rsidRPr="00B4570E">
        <w:rPr>
          <w:sz w:val="20"/>
          <w:szCs w:val="20"/>
          <w:lang w:val="nl-NL"/>
        </w:rPr>
        <w:t xml:space="preserve">Over deze onderwerpen oordeelt </w:t>
      </w:r>
      <w:r w:rsidR="006765A2">
        <w:rPr>
          <w:sz w:val="20"/>
          <w:szCs w:val="20"/>
          <w:lang w:val="nl-NL"/>
        </w:rPr>
        <w:t>tussen de</w:t>
      </w:r>
      <w:r w:rsidR="0062051E">
        <w:rPr>
          <w:sz w:val="20"/>
          <w:szCs w:val="20"/>
          <w:lang w:val="nl-NL"/>
        </w:rPr>
        <w:t xml:space="preserve"> 60% en</w:t>
      </w:r>
      <w:r w:rsidRPr="00B4570E">
        <w:rPr>
          <w:sz w:val="20"/>
          <w:szCs w:val="20"/>
          <w:lang w:val="nl-NL"/>
        </w:rPr>
        <w:t xml:space="preserve"> 75% van de ondervraagden positief.</w:t>
      </w:r>
    </w:p>
    <w:p w:rsidR="0062051E" w:rsidRDefault="00B4570E" w:rsidP="00B4570E">
      <w:pPr>
        <w:rPr>
          <w:sz w:val="20"/>
          <w:szCs w:val="20"/>
          <w:lang w:val="nl-NL"/>
        </w:rPr>
      </w:pPr>
      <w:r w:rsidRPr="00B4570E">
        <w:rPr>
          <w:sz w:val="20"/>
          <w:szCs w:val="20"/>
          <w:lang w:val="nl-NL"/>
        </w:rPr>
        <w:t>- Kritiek richt zich vooral op de informatie vanu</w:t>
      </w:r>
      <w:r w:rsidR="0062051E">
        <w:rPr>
          <w:sz w:val="20"/>
          <w:szCs w:val="20"/>
          <w:lang w:val="nl-NL"/>
        </w:rPr>
        <w:t>it de opleiding, studieroosters en</w:t>
      </w:r>
      <w:r w:rsidRPr="00B4570E">
        <w:rPr>
          <w:sz w:val="20"/>
          <w:szCs w:val="20"/>
          <w:lang w:val="nl-NL"/>
        </w:rPr>
        <w:t xml:space="preserve"> de mate waarin opleidingen internationaal gericht zijn</w:t>
      </w:r>
      <w:r w:rsidR="0062051E">
        <w:rPr>
          <w:sz w:val="20"/>
          <w:szCs w:val="20"/>
          <w:lang w:val="nl-NL"/>
        </w:rPr>
        <w:t xml:space="preserve">. Ook over de kwaliteitszorg binnen de opleiding </w:t>
      </w:r>
      <w:r w:rsidR="007E6A71">
        <w:rPr>
          <w:sz w:val="20"/>
          <w:szCs w:val="20"/>
          <w:lang w:val="nl-NL"/>
        </w:rPr>
        <w:t>oordeelt een relatief groot</w:t>
      </w:r>
      <w:r w:rsidR="0062051E">
        <w:rPr>
          <w:sz w:val="20"/>
          <w:szCs w:val="20"/>
          <w:lang w:val="nl-NL"/>
        </w:rPr>
        <w:t xml:space="preserve"> </w:t>
      </w:r>
      <w:r w:rsidR="007E6A71">
        <w:rPr>
          <w:sz w:val="20"/>
          <w:szCs w:val="20"/>
          <w:lang w:val="nl-NL"/>
        </w:rPr>
        <w:t>deel van</w:t>
      </w:r>
    </w:p>
    <w:p w:rsidR="0062051E" w:rsidRDefault="0062051E" w:rsidP="00B4570E">
      <w:pPr>
        <w:rPr>
          <w:sz w:val="20"/>
          <w:szCs w:val="20"/>
          <w:lang w:val="nl-NL"/>
        </w:rPr>
      </w:pPr>
    </w:p>
    <w:p w:rsidR="0062051E" w:rsidRDefault="0062051E" w:rsidP="00B4570E">
      <w:pPr>
        <w:rPr>
          <w:sz w:val="20"/>
          <w:szCs w:val="20"/>
          <w:lang w:val="nl-NL"/>
        </w:rPr>
      </w:pPr>
    </w:p>
    <w:p w:rsidR="0062051E" w:rsidRDefault="0062051E" w:rsidP="00B4570E">
      <w:pPr>
        <w:rPr>
          <w:sz w:val="20"/>
          <w:szCs w:val="20"/>
          <w:lang w:val="nl-NL"/>
        </w:rPr>
      </w:pPr>
    </w:p>
    <w:p w:rsidR="0062051E" w:rsidRDefault="0062051E" w:rsidP="00B4570E">
      <w:pPr>
        <w:rPr>
          <w:sz w:val="20"/>
          <w:szCs w:val="20"/>
          <w:lang w:val="nl-NL"/>
        </w:rPr>
      </w:pPr>
    </w:p>
    <w:p w:rsidR="00A17194" w:rsidRDefault="007E6A71" w:rsidP="00A17194">
      <w:pPr>
        <w:rPr>
          <w:sz w:val="20"/>
          <w:szCs w:val="20"/>
          <w:lang w:val="nl-NL"/>
        </w:rPr>
      </w:pPr>
      <w:r>
        <w:rPr>
          <w:sz w:val="20"/>
          <w:szCs w:val="20"/>
          <w:lang w:val="nl-NL"/>
        </w:rPr>
        <w:t xml:space="preserve">de </w:t>
      </w:r>
      <w:r w:rsidR="0062051E">
        <w:rPr>
          <w:sz w:val="20"/>
          <w:szCs w:val="20"/>
          <w:lang w:val="nl-NL"/>
        </w:rPr>
        <w:t>studenten nog negatief, maar hier is een duidelijke verbetering te zien over de afgelopen jaren.</w:t>
      </w:r>
      <w:r w:rsidR="0062051E">
        <w:rPr>
          <w:sz w:val="20"/>
          <w:szCs w:val="20"/>
          <w:lang w:val="nl-NL"/>
        </w:rPr>
        <w:t xml:space="preserve"> </w:t>
      </w:r>
      <w:r w:rsidR="00C848D5">
        <w:rPr>
          <w:sz w:val="20"/>
          <w:szCs w:val="20"/>
          <w:lang w:val="nl-NL"/>
        </w:rPr>
        <w:t>Bij deze thema’s blijft het percentage studenten dat aangeeft tevreden te zijn (net) onder de 50%.</w:t>
      </w:r>
    </w:p>
    <w:p w:rsidR="00B359F3" w:rsidRDefault="00B359F3" w:rsidP="00A17194">
      <w:pPr>
        <w:rPr>
          <w:sz w:val="20"/>
          <w:szCs w:val="20"/>
          <w:lang w:val="nl-NL"/>
        </w:rPr>
      </w:pPr>
    </w:p>
    <w:p w:rsidR="00C848D5" w:rsidRDefault="0024309C" w:rsidP="00A17194">
      <w:pPr>
        <w:rPr>
          <w:b/>
          <w:sz w:val="20"/>
          <w:szCs w:val="20"/>
          <w:lang w:val="nl-NL"/>
        </w:rPr>
      </w:pPr>
      <w:r>
        <w:rPr>
          <w:b/>
          <w:sz w:val="20"/>
          <w:szCs w:val="20"/>
          <w:lang w:val="nl-NL"/>
        </w:rPr>
        <w:t>T</w:t>
      </w:r>
      <w:r w:rsidR="00C848D5" w:rsidRPr="00B359F3">
        <w:rPr>
          <w:b/>
          <w:sz w:val="20"/>
          <w:szCs w:val="20"/>
          <w:lang w:val="nl-NL"/>
        </w:rPr>
        <w:t>evredenheid</w:t>
      </w:r>
      <w:r>
        <w:rPr>
          <w:b/>
          <w:sz w:val="20"/>
          <w:szCs w:val="20"/>
          <w:lang w:val="nl-NL"/>
        </w:rPr>
        <w:t xml:space="preserve"> met studie in het algemeen</w:t>
      </w:r>
      <w:r w:rsidR="00C848D5" w:rsidRPr="00B359F3">
        <w:rPr>
          <w:b/>
          <w:sz w:val="20"/>
          <w:szCs w:val="20"/>
          <w:lang w:val="nl-NL"/>
        </w:rPr>
        <w:t xml:space="preserve"> uitgesplitst naar</w:t>
      </w:r>
      <w:r>
        <w:rPr>
          <w:b/>
          <w:sz w:val="20"/>
          <w:szCs w:val="20"/>
          <w:lang w:val="nl-NL"/>
        </w:rPr>
        <w:t xml:space="preserve"> hbo</w:t>
      </w:r>
      <w:r w:rsidR="00C848D5" w:rsidRPr="00B359F3">
        <w:rPr>
          <w:b/>
          <w:sz w:val="20"/>
          <w:szCs w:val="20"/>
          <w:lang w:val="nl-NL"/>
        </w:rPr>
        <w:t xml:space="preserve"> </w:t>
      </w:r>
      <w:r w:rsidR="00B359F3" w:rsidRPr="00B359F3">
        <w:rPr>
          <w:b/>
          <w:sz w:val="20"/>
          <w:szCs w:val="20"/>
          <w:lang w:val="nl-NL"/>
        </w:rPr>
        <w:t>bachelor, master en associate degree</w:t>
      </w:r>
    </w:p>
    <w:p w:rsidR="00322D10" w:rsidRPr="00B359F3" w:rsidRDefault="00322D10" w:rsidP="00A17194">
      <w:pPr>
        <w:rPr>
          <w:b/>
          <w:sz w:val="20"/>
          <w:szCs w:val="20"/>
          <w:lang w:val="nl-NL"/>
        </w:rPr>
      </w:pPr>
      <w:r>
        <w:rPr>
          <w:noProof/>
          <w:lang w:val="nl-NL" w:eastAsia="nl-NL"/>
        </w:rPr>
        <w:drawing>
          <wp:inline distT="0" distB="0" distL="0" distR="0" wp14:anchorId="12FB8975" wp14:editId="56D514E9">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2D10" w:rsidRDefault="00322D10" w:rsidP="00B4570E">
      <w:pPr>
        <w:spacing w:line="264" w:lineRule="auto"/>
        <w:rPr>
          <w:i/>
          <w:sz w:val="20"/>
          <w:szCs w:val="20"/>
          <w:lang w:val="nl-NL"/>
        </w:rPr>
      </w:pPr>
    </w:p>
    <w:p w:rsidR="00B4570E" w:rsidRPr="00B4570E" w:rsidRDefault="00B4570E" w:rsidP="00B4570E">
      <w:pPr>
        <w:spacing w:line="264" w:lineRule="auto"/>
        <w:rPr>
          <w:i/>
          <w:sz w:val="20"/>
          <w:szCs w:val="20"/>
          <w:lang w:val="nl-NL"/>
        </w:rPr>
      </w:pPr>
      <w:r w:rsidRPr="00B4570E">
        <w:rPr>
          <w:i/>
          <w:sz w:val="20"/>
          <w:szCs w:val="20"/>
          <w:lang w:val="nl-NL"/>
        </w:rPr>
        <w:t>Toelichting</w:t>
      </w:r>
    </w:p>
    <w:p w:rsidR="00B4570E" w:rsidRPr="00B4570E" w:rsidRDefault="00B4570E" w:rsidP="00B4570E">
      <w:pPr>
        <w:spacing w:line="264" w:lineRule="auto"/>
        <w:rPr>
          <w:sz w:val="20"/>
          <w:szCs w:val="20"/>
          <w:lang w:val="nl-NL"/>
        </w:rPr>
      </w:pPr>
      <w:r w:rsidRPr="00B4570E">
        <w:rPr>
          <w:sz w:val="20"/>
          <w:szCs w:val="20"/>
          <w:lang w:val="nl-NL"/>
        </w:rPr>
        <w:t xml:space="preserve">In de Nationale Studenten Enquête (NSE) geven studenten in het hoger onderwijs hun oordeel op een vijfpuntschaal die loopt van </w:t>
      </w:r>
      <w:r w:rsidRPr="00B4570E">
        <w:rPr>
          <w:i/>
          <w:sz w:val="20"/>
          <w:szCs w:val="20"/>
          <w:lang w:val="nl-NL"/>
        </w:rPr>
        <w:t>zeer ontevreden</w:t>
      </w:r>
      <w:r w:rsidRPr="00B4570E">
        <w:rPr>
          <w:sz w:val="20"/>
          <w:szCs w:val="20"/>
          <w:lang w:val="nl-NL"/>
        </w:rPr>
        <w:t xml:space="preserve"> tot </w:t>
      </w:r>
      <w:r w:rsidRPr="00B4570E">
        <w:rPr>
          <w:i/>
          <w:sz w:val="20"/>
          <w:szCs w:val="20"/>
          <w:lang w:val="nl-NL"/>
        </w:rPr>
        <w:t>zeer tevreden</w:t>
      </w:r>
      <w:r w:rsidR="00592AB6">
        <w:rPr>
          <w:sz w:val="20"/>
          <w:szCs w:val="20"/>
          <w:lang w:val="nl-NL"/>
        </w:rPr>
        <w:t>. In de</w:t>
      </w:r>
      <w:r w:rsidRPr="00B4570E">
        <w:rPr>
          <w:sz w:val="20"/>
          <w:szCs w:val="20"/>
          <w:lang w:val="nl-NL"/>
        </w:rPr>
        <w:t xml:space="preserve"> tabel wordt het aandeel studenten bij bekostigde hbo-opleidingen weergegeven dat </w:t>
      </w:r>
      <w:r w:rsidRPr="00B4570E">
        <w:rPr>
          <w:i/>
          <w:sz w:val="20"/>
          <w:szCs w:val="20"/>
          <w:lang w:val="nl-NL"/>
        </w:rPr>
        <w:t>tevreden</w:t>
      </w:r>
      <w:r w:rsidRPr="00B4570E">
        <w:rPr>
          <w:sz w:val="20"/>
          <w:szCs w:val="20"/>
          <w:lang w:val="nl-NL"/>
        </w:rPr>
        <w:t xml:space="preserve"> of </w:t>
      </w:r>
      <w:r w:rsidRPr="00B4570E">
        <w:rPr>
          <w:i/>
          <w:sz w:val="20"/>
          <w:szCs w:val="20"/>
          <w:lang w:val="nl-NL"/>
        </w:rPr>
        <w:t>zeer tevreden</w:t>
      </w:r>
      <w:r w:rsidRPr="00B4570E">
        <w:rPr>
          <w:sz w:val="20"/>
          <w:szCs w:val="20"/>
          <w:lang w:val="nl-NL"/>
        </w:rPr>
        <w:t xml:space="preserve"> is.</w:t>
      </w:r>
    </w:p>
    <w:p w:rsidR="00B4570E" w:rsidRPr="00B4570E" w:rsidRDefault="00B4570E" w:rsidP="00B4570E">
      <w:pPr>
        <w:spacing w:line="264" w:lineRule="auto"/>
        <w:rPr>
          <w:sz w:val="20"/>
          <w:szCs w:val="20"/>
          <w:lang w:val="nl-NL"/>
        </w:rPr>
      </w:pPr>
      <w:r w:rsidRPr="00B4570E">
        <w:rPr>
          <w:sz w:val="20"/>
          <w:szCs w:val="20"/>
          <w:lang w:val="nl-NL"/>
        </w:rPr>
        <w:t>De scores zijn niet in alle jaren op basis van dezelfde criteria (subthema's) bere</w:t>
      </w:r>
      <w:bookmarkStart w:id="0" w:name="_GoBack"/>
      <w:bookmarkEnd w:id="0"/>
      <w:r w:rsidRPr="00B4570E">
        <w:rPr>
          <w:sz w:val="20"/>
          <w:szCs w:val="20"/>
          <w:lang w:val="nl-NL"/>
        </w:rPr>
        <w:t>kend. Daarom zijn vergelijkingen tussen jaren niet volledig betrouwbaar.</w:t>
      </w:r>
    </w:p>
    <w:p w:rsidR="00022137" w:rsidRDefault="00B4570E" w:rsidP="0020535A">
      <w:pPr>
        <w:rPr>
          <w:sz w:val="20"/>
          <w:szCs w:val="20"/>
          <w:lang w:val="nl-NL"/>
        </w:rPr>
      </w:pPr>
      <w:r w:rsidRPr="00B4570E">
        <w:rPr>
          <w:sz w:val="20"/>
          <w:szCs w:val="20"/>
          <w:lang w:val="nl-NL"/>
        </w:rPr>
        <w:t xml:space="preserve">Alleen de oordelen over de hoofdonderwerpen zijn in deze </w:t>
      </w:r>
      <w:r w:rsidR="006340AA">
        <w:rPr>
          <w:sz w:val="20"/>
          <w:szCs w:val="20"/>
          <w:lang w:val="nl-NL"/>
        </w:rPr>
        <w:t>factsheet</w:t>
      </w:r>
      <w:r w:rsidRPr="00B4570E">
        <w:rPr>
          <w:sz w:val="20"/>
          <w:szCs w:val="20"/>
          <w:lang w:val="nl-NL"/>
        </w:rPr>
        <w:t xml:space="preserve"> opgenomen. In de NSE wordt ook gedetailleerder naar aspecten van de opleiding gevraagd. De complete uitkomsten van het onderzoek zijn per opleiding te raadplegen via </w:t>
      </w:r>
      <w:hyperlink r:id="rId9" w:history="1">
        <w:r w:rsidRPr="00B4570E">
          <w:rPr>
            <w:rStyle w:val="Hyperlink"/>
            <w:sz w:val="20"/>
            <w:szCs w:val="20"/>
            <w:lang w:val="nl-NL"/>
          </w:rPr>
          <w:t>www.studiekeuze123.nl</w:t>
        </w:r>
      </w:hyperlink>
      <w:r w:rsidRPr="00B4570E">
        <w:rPr>
          <w:sz w:val="20"/>
          <w:szCs w:val="20"/>
          <w:lang w:val="nl-NL"/>
        </w:rPr>
        <w:t>.</w:t>
      </w:r>
    </w:p>
    <w:p w:rsidR="00022137" w:rsidRPr="00022137" w:rsidRDefault="00022137" w:rsidP="0020535A">
      <w:pPr>
        <w:rPr>
          <w:i/>
          <w:sz w:val="20"/>
          <w:szCs w:val="20"/>
          <w:lang w:val="nl-NL"/>
        </w:rPr>
      </w:pPr>
      <w:r w:rsidRPr="00022137">
        <w:rPr>
          <w:i/>
          <w:sz w:val="20"/>
          <w:szCs w:val="20"/>
          <w:lang w:val="nl-NL"/>
        </w:rPr>
        <w:t>NSE en AVG</w:t>
      </w:r>
    </w:p>
    <w:p w:rsidR="00850184" w:rsidRDefault="00022137" w:rsidP="0020535A">
      <w:pPr>
        <w:rPr>
          <w:rFonts w:cstheme="minorHAnsi"/>
          <w:b/>
          <w:bCs/>
          <w:iCs/>
          <w:sz w:val="24"/>
          <w:lang w:val="nl-NL"/>
        </w:rPr>
      </w:pPr>
      <w:r w:rsidRPr="00022137">
        <w:rPr>
          <w:bCs/>
          <w:sz w:val="20"/>
          <w:szCs w:val="20"/>
          <w:lang w:val="nl-NL"/>
        </w:rPr>
        <w:t>De NSE is conform de Algemene Verordening</w:t>
      </w:r>
      <w:r>
        <w:rPr>
          <w:bCs/>
          <w:sz w:val="20"/>
          <w:szCs w:val="20"/>
          <w:lang w:val="nl-NL"/>
        </w:rPr>
        <w:t xml:space="preserve"> Gegevensbescherming uitgevoerd</w:t>
      </w:r>
      <w:r w:rsidRPr="00022137">
        <w:rPr>
          <w:bCs/>
          <w:sz w:val="20"/>
          <w:szCs w:val="20"/>
          <w:lang w:val="nl-NL"/>
        </w:rPr>
        <w:t>. Met ingang van de nieuwe wet op de AVG gelden er strengere eisen voor de verwerking van persoonsgegevens. In dit kader is er voor de NSE 2018 gekozen om een toestemmingsvraag toe te voegen aan het begin van de vragenlijst waarmee studenten de mogelijkheid wordt geboden om anoniem mee te doen. Het toevoegen van deze toestemmingsvraag heeft mogelijk effect gehad op de respons en de uitkomsten van de NSE 2018. Vergelijkingen met eerdere enquêtejaren zijn daarom mogelijk niet 100% betrouwbaar. Dit zal nog worden onderzocht door Studiekeuze123. De toepassing van strengere beveiligingsregels op het benchmarkbestand heeft geen zichtbare effecten gehad op de uitkomsten.</w:t>
      </w:r>
    </w:p>
    <w:sectPr w:rsidR="00850184" w:rsidSect="0020535A">
      <w:headerReference w:type="default" r:id="rId10"/>
      <w:foot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3D" w:rsidRDefault="00D00B3D" w:rsidP="00395717">
      <w:pPr>
        <w:spacing w:after="0" w:line="240" w:lineRule="auto"/>
      </w:pPr>
      <w:r>
        <w:separator/>
      </w:r>
    </w:p>
  </w:endnote>
  <w:endnote w:type="continuationSeparator" w:id="0">
    <w:p w:rsidR="00D00B3D" w:rsidRDefault="00D00B3D" w:rsidP="0039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3D" w:rsidRPr="00EE0560" w:rsidRDefault="00D00B3D">
    <w:pPr>
      <w:pStyle w:val="Voettekst"/>
      <w:rPr>
        <w:color w:val="5B9BD5" w:themeColor="accent1"/>
      </w:rPr>
    </w:pPr>
    <w:r w:rsidRPr="002421B0">
      <w:rPr>
        <w:noProof/>
        <w:color w:val="5B9BD5" w:themeColor="accent1"/>
        <w:lang w:val="nl-NL" w:eastAsia="nl-NL"/>
      </w:rPr>
      <mc:AlternateContent>
        <mc:Choice Requires="wps">
          <w:drawing>
            <wp:anchor distT="0" distB="0" distL="114300" distR="114300" simplePos="0" relativeHeight="251662336" behindDoc="0" locked="0" layoutInCell="1" allowOverlap="1" wp14:anchorId="508A9020" wp14:editId="6EC7F995">
              <wp:simplePos x="0" y="0"/>
              <wp:positionH relativeFrom="column">
                <wp:posOffset>-819150</wp:posOffset>
              </wp:positionH>
              <wp:positionV relativeFrom="paragraph">
                <wp:posOffset>158115</wp:posOffset>
              </wp:positionV>
              <wp:extent cx="3952875" cy="240665"/>
              <wp:effectExtent l="0" t="0" r="0" b="0"/>
              <wp:wrapNone/>
              <wp:docPr id="8" name="Tekstvak 7"/>
              <wp:cNvGraphicFramePr/>
              <a:graphic xmlns:a="http://schemas.openxmlformats.org/drawingml/2006/main">
                <a:graphicData uri="http://schemas.microsoft.com/office/word/2010/wordprocessingShape">
                  <wps:wsp>
                    <wps:cNvSpPr txBox="1"/>
                    <wps:spPr>
                      <a:xfrm>
                        <a:off x="0" y="0"/>
                        <a:ext cx="3952875" cy="240665"/>
                      </a:xfrm>
                      <a:prstGeom prst="rect">
                        <a:avLst/>
                      </a:prstGeom>
                      <a:noFill/>
                    </wps:spPr>
                    <wps:txbx>
                      <w:txbxContent>
                        <w:p w:rsidR="00D00B3D" w:rsidRPr="00B4570E" w:rsidRDefault="00D00B3D" w:rsidP="002421B0">
                          <w:pPr>
                            <w:pStyle w:val="Normaalweb"/>
                            <w:spacing w:before="0" w:beforeAutospacing="0" w:after="0" w:afterAutospacing="0"/>
                            <w:rPr>
                              <w:lang w:val="nl-NL"/>
                            </w:rPr>
                          </w:pPr>
                          <w:r w:rsidRPr="00B4570E">
                            <w:rPr>
                              <w:rFonts w:asciiTheme="minorHAnsi" w:hAnsi="Calibri" w:cstheme="minorBidi"/>
                              <w:b/>
                              <w:bCs/>
                              <w:color w:val="FFFFFF" w:themeColor="background1"/>
                              <w:kern w:val="24"/>
                              <w:sz w:val="18"/>
                              <w:szCs w:val="18"/>
                              <w:lang w:val="nl-NL"/>
                            </w:rPr>
                            <w:t xml:space="preserve">Vereniging Hogescholen </w:t>
                          </w:r>
                          <w:r w:rsidRPr="00B4570E">
                            <w:rPr>
                              <w:rFonts w:asciiTheme="minorHAnsi" w:hAnsi="Calibri" w:cstheme="minorBidi"/>
                              <w:bCs/>
                              <w:color w:val="FFFFFF" w:themeColor="background1"/>
                              <w:kern w:val="24"/>
                              <w:sz w:val="18"/>
                              <w:szCs w:val="18"/>
                              <w:lang w:val="nl-NL"/>
                            </w:rPr>
                            <w:t>Factsheet</w:t>
                          </w:r>
                          <w:r w:rsidRPr="00B4570E">
                            <w:rPr>
                              <w:rFonts w:asciiTheme="minorHAnsi" w:hAnsi="Calibri" w:cstheme="minorBidi"/>
                              <w:b/>
                              <w:bCs/>
                              <w:color w:val="FFFFFF" w:themeColor="background1"/>
                              <w:kern w:val="24"/>
                              <w:sz w:val="18"/>
                              <w:szCs w:val="18"/>
                              <w:lang w:val="nl-NL"/>
                            </w:rPr>
                            <w:t xml:space="preserve"> –</w:t>
                          </w:r>
                          <w:r w:rsidR="00B4570E">
                            <w:rPr>
                              <w:rFonts w:asciiTheme="minorHAnsi" w:hAnsi="Calibri" w:cstheme="minorBidi"/>
                              <w:b/>
                              <w:bCs/>
                              <w:color w:val="FFFFFF" w:themeColor="background1"/>
                              <w:kern w:val="24"/>
                              <w:sz w:val="18"/>
                              <w:szCs w:val="18"/>
                              <w:lang w:val="nl-NL"/>
                            </w:rPr>
                            <w:t xml:space="preserve"> Nationale Studenten Enquê</w:t>
                          </w:r>
                          <w:r w:rsidR="00592AB6">
                            <w:rPr>
                              <w:rFonts w:asciiTheme="minorHAnsi" w:hAnsi="Calibri" w:cstheme="minorBidi"/>
                              <w:b/>
                              <w:bCs/>
                              <w:color w:val="FFFFFF" w:themeColor="background1"/>
                              <w:kern w:val="24"/>
                              <w:sz w:val="18"/>
                              <w:szCs w:val="18"/>
                              <w:lang w:val="nl-NL"/>
                            </w:rPr>
                            <w:t>te 2018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8A9020" id="_x0000_t202" coordsize="21600,21600" o:spt="202" path="m,l,21600r21600,l21600,xe">
              <v:stroke joinstyle="miter"/>
              <v:path gradientshapeok="t" o:connecttype="rect"/>
            </v:shapetype>
            <v:shape id="_x0000_s1027" type="#_x0000_t202" style="position:absolute;margin-left:-64.5pt;margin-top:12.45pt;width:311.2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" filled="f" stroked="f">
              <v:textbox>
                <w:txbxContent>
                  <w:p w:rsidR="00D00B3D" w:rsidRPr="00B4570E" w:rsidRDefault="00D00B3D" w:rsidP="002421B0">
                    <w:pPr>
                      <w:pStyle w:val="Normaalweb"/>
                      <w:spacing w:before="0" w:beforeAutospacing="0" w:after="0" w:afterAutospacing="0"/>
                      <w:rPr>
                        <w:lang w:val="nl-NL"/>
                      </w:rPr>
                    </w:pPr>
                    <w:r w:rsidRPr="00B4570E">
                      <w:rPr>
                        <w:rFonts w:asciiTheme="minorHAnsi" w:hAnsi="Calibri" w:cstheme="minorBidi"/>
                        <w:b/>
                        <w:bCs/>
                        <w:color w:val="FFFFFF" w:themeColor="background1"/>
                        <w:kern w:val="24"/>
                        <w:sz w:val="18"/>
                        <w:szCs w:val="18"/>
                        <w:lang w:val="nl-NL"/>
                      </w:rPr>
                      <w:t xml:space="preserve">Vereniging Hogescholen </w:t>
                    </w:r>
                    <w:r w:rsidRPr="00B4570E">
                      <w:rPr>
                        <w:rFonts w:asciiTheme="minorHAnsi" w:hAnsi="Calibri" w:cstheme="minorBidi"/>
                        <w:bCs/>
                        <w:color w:val="FFFFFF" w:themeColor="background1"/>
                        <w:kern w:val="24"/>
                        <w:sz w:val="18"/>
                        <w:szCs w:val="18"/>
                        <w:lang w:val="nl-NL"/>
                      </w:rPr>
                      <w:t>Factsheet</w:t>
                    </w:r>
                    <w:r w:rsidRPr="00B4570E">
                      <w:rPr>
                        <w:rFonts w:asciiTheme="minorHAnsi" w:hAnsi="Calibri" w:cstheme="minorBidi"/>
                        <w:b/>
                        <w:bCs/>
                        <w:color w:val="FFFFFF" w:themeColor="background1"/>
                        <w:kern w:val="24"/>
                        <w:sz w:val="18"/>
                        <w:szCs w:val="18"/>
                        <w:lang w:val="nl-NL"/>
                      </w:rPr>
                      <w:t xml:space="preserve"> –</w:t>
                    </w:r>
                    <w:r w:rsidR="00B4570E">
                      <w:rPr>
                        <w:rFonts w:asciiTheme="minorHAnsi" w:hAnsi="Calibri" w:cstheme="minorBidi"/>
                        <w:b/>
                        <w:bCs/>
                        <w:color w:val="FFFFFF" w:themeColor="background1"/>
                        <w:kern w:val="24"/>
                        <w:sz w:val="18"/>
                        <w:szCs w:val="18"/>
                        <w:lang w:val="nl-NL"/>
                      </w:rPr>
                      <w:t xml:space="preserve"> Nationale Studenten Enquê</w:t>
                    </w:r>
                    <w:r w:rsidR="00592AB6">
                      <w:rPr>
                        <w:rFonts w:asciiTheme="minorHAnsi" w:hAnsi="Calibri" w:cstheme="minorBidi"/>
                        <w:b/>
                        <w:bCs/>
                        <w:color w:val="FFFFFF" w:themeColor="background1"/>
                        <w:kern w:val="24"/>
                        <w:sz w:val="18"/>
                        <w:szCs w:val="18"/>
                        <w:lang w:val="nl-NL"/>
                      </w:rPr>
                      <w:t>te 2018</w:t>
                    </w:r>
                  </w:p>
                </w:txbxContent>
              </v:textbox>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08BEC0CB" wp14:editId="18F6E25F">
              <wp:simplePos x="0" y="0"/>
              <wp:positionH relativeFrom="page">
                <wp:posOffset>-1600200</wp:posOffset>
              </wp:positionH>
              <wp:positionV relativeFrom="paragraph">
                <wp:posOffset>15240</wp:posOffset>
              </wp:positionV>
              <wp:extent cx="9144715" cy="666750"/>
              <wp:effectExtent l="0" t="0" r="18415" b="19050"/>
              <wp:wrapNone/>
              <wp:docPr id="5" name="Rechthoek 4"/>
              <wp:cNvGraphicFramePr/>
              <a:graphic xmlns:a="http://schemas.openxmlformats.org/drawingml/2006/main">
                <a:graphicData uri="http://schemas.microsoft.com/office/word/2010/wordprocessingShape">
                  <wps:wsp>
                    <wps:cNvSpPr/>
                    <wps:spPr>
                      <a:xfrm>
                        <a:off x="0" y="0"/>
                        <a:ext cx="9144715" cy="666750"/>
                      </a:xfrm>
                      <a:prstGeom prst="rect">
                        <a:avLst/>
                      </a:prstGeom>
                      <a:solidFill>
                        <a:srgbClr val="009FE3"/>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02E76E7" id="Rechthoek 4" o:spid="_x0000_s1026" style="position:absolute;margin-left:-126pt;margin-top:1.2pt;width:720.0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" fillcolor="#009fe3" strokecolor="#5b9bd5 [3204]" strokeweight=".5pt">
              <w10:wrap anchorx="page"/>
            </v:rect>
          </w:pict>
        </mc:Fallback>
      </mc:AlternateContent>
    </w:r>
    <w:r>
      <w:rPr>
        <w:noProof/>
        <w:lang w:val="nl-NL" w:eastAsia="nl-NL"/>
      </w:rPr>
      <w:drawing>
        <wp:anchor distT="0" distB="0" distL="114300" distR="114300" simplePos="0" relativeHeight="251660288" behindDoc="0" locked="0" layoutInCell="1" allowOverlap="1" wp14:anchorId="525719F2" wp14:editId="728B4508">
          <wp:simplePos x="0" y="0"/>
          <wp:positionH relativeFrom="column">
            <wp:posOffset>5386070</wp:posOffset>
          </wp:positionH>
          <wp:positionV relativeFrom="paragraph">
            <wp:posOffset>-572770</wp:posOffset>
          </wp:positionV>
          <wp:extent cx="978535" cy="1148080"/>
          <wp:effectExtent l="0" t="0" r="0" b="0"/>
          <wp:wrapNone/>
          <wp:docPr id="6" name="Afbeelding 5"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Logo-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8535" cy="1148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3D" w:rsidRDefault="00D00B3D" w:rsidP="00395717">
      <w:pPr>
        <w:spacing w:after="0" w:line="240" w:lineRule="auto"/>
      </w:pPr>
      <w:r>
        <w:separator/>
      </w:r>
    </w:p>
  </w:footnote>
  <w:footnote w:type="continuationSeparator" w:id="0">
    <w:p w:rsidR="00D00B3D" w:rsidRDefault="00D00B3D" w:rsidP="00395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3D" w:rsidRDefault="00D00B3D" w:rsidP="0020535A">
    <w:pPr>
      <w:pStyle w:val="Koptekst"/>
    </w:pPr>
    <w:r w:rsidRPr="002421B0">
      <w:rPr>
        <w:noProof/>
        <w:color w:val="5B9BD5" w:themeColor="accent1"/>
        <w:lang w:val="nl-NL" w:eastAsia="nl-NL"/>
      </w:rPr>
      <mc:AlternateContent>
        <mc:Choice Requires="wps">
          <w:drawing>
            <wp:anchor distT="0" distB="0" distL="114300" distR="114300" simplePos="0" relativeHeight="251666432" behindDoc="0" locked="0" layoutInCell="1" allowOverlap="1" wp14:anchorId="380DB97A" wp14:editId="01914495">
              <wp:simplePos x="0" y="0"/>
              <wp:positionH relativeFrom="margin">
                <wp:align>left</wp:align>
              </wp:positionH>
              <wp:positionV relativeFrom="paragraph">
                <wp:posOffset>-107315</wp:posOffset>
              </wp:positionV>
              <wp:extent cx="3952875" cy="571500"/>
              <wp:effectExtent l="0" t="0" r="0" b="0"/>
              <wp:wrapNone/>
              <wp:docPr id="3" name="Tekstvak 7"/>
              <wp:cNvGraphicFramePr/>
              <a:graphic xmlns:a="http://schemas.openxmlformats.org/drawingml/2006/main">
                <a:graphicData uri="http://schemas.microsoft.com/office/word/2010/wordprocessingShape">
                  <wps:wsp>
                    <wps:cNvSpPr txBox="1"/>
                    <wps:spPr>
                      <a:xfrm>
                        <a:off x="0" y="0"/>
                        <a:ext cx="3952875" cy="571500"/>
                      </a:xfrm>
                      <a:prstGeom prst="rect">
                        <a:avLst/>
                      </a:prstGeom>
                      <a:noFill/>
                    </wps:spPr>
                    <wps:txbx>
                      <w:txbxContent>
                        <w:p w:rsidR="00D00B3D" w:rsidRPr="00DC52BA" w:rsidRDefault="00D00B3D" w:rsidP="00CD5756">
                          <w:pPr>
                            <w:pStyle w:val="Normaalweb"/>
                            <w:spacing w:before="0" w:beforeAutospacing="0" w:after="0" w:afterAutospacing="0"/>
                            <w:rPr>
                              <w:rFonts w:asciiTheme="minorHAnsi" w:hAnsiTheme="minorHAnsi"/>
                              <w:sz w:val="56"/>
                              <w:szCs w:val="56"/>
                            </w:rPr>
                          </w:pPr>
                          <w:r>
                            <w:rPr>
                              <w:rFonts w:asciiTheme="minorHAnsi" w:hAnsiTheme="minorHAnsi" w:cstheme="minorBidi"/>
                              <w:b/>
                              <w:bCs/>
                              <w:color w:val="FFFFFF" w:themeColor="background1"/>
                              <w:kern w:val="24"/>
                              <w:sz w:val="56"/>
                              <w:szCs w:val="56"/>
                            </w:rPr>
                            <w:t xml:space="preserve">Factsheet </w:t>
                          </w:r>
                          <w:r>
                            <w:rPr>
                              <w:rFonts w:asciiTheme="minorHAnsi" w:hAnsiTheme="minorHAnsi" w:cstheme="minorBidi"/>
                              <w:b/>
                              <w:bCs/>
                              <w:color w:val="FFFFFF" w:themeColor="background1"/>
                              <w:kern w:val="24"/>
                              <w:sz w:val="56"/>
                              <w:szCs w:val="56"/>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80DB97A" id="_x0000_t202" coordsize="21600,21600" o:spt="202" path="m,l,21600r21600,l21600,xe">
              <v:stroke joinstyle="miter"/>
              <v:path gradientshapeok="t" o:connecttype="rect"/>
            </v:shapetype>
            <v:shape id="Tekstvak 7" o:spid="_x0000_s1026" type="#_x0000_t202" style="position:absolute;margin-left:0;margin-top:-8.45pt;width:311.25pt;height: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" filled="f" stroked="f">
              <v:textbox>
                <w:txbxContent>
                  <w:p w:rsidR="00D00B3D" w:rsidRPr="00DC52BA" w:rsidRDefault="00D00B3D" w:rsidP="00CD5756">
                    <w:pPr>
                      <w:pStyle w:val="Normaalweb"/>
                      <w:spacing w:before="0" w:beforeAutospacing="0" w:after="0" w:afterAutospacing="0"/>
                      <w:rPr>
                        <w:rFonts w:asciiTheme="minorHAnsi" w:hAnsiTheme="minorHAnsi"/>
                        <w:sz w:val="56"/>
                        <w:szCs w:val="56"/>
                      </w:rPr>
                    </w:pPr>
                    <w:r>
                      <w:rPr>
                        <w:rFonts w:asciiTheme="minorHAnsi" w:hAnsiTheme="minorHAnsi" w:cstheme="minorBidi"/>
                        <w:b/>
                        <w:bCs/>
                        <w:color w:val="FFFFFF" w:themeColor="background1"/>
                        <w:kern w:val="24"/>
                        <w:sz w:val="56"/>
                        <w:szCs w:val="56"/>
                      </w:rPr>
                      <w:t xml:space="preserve">Factsheet </w:t>
                    </w:r>
                    <w:r>
                      <w:rPr>
                        <w:rFonts w:asciiTheme="minorHAnsi" w:hAnsiTheme="minorHAnsi" w:cstheme="minorBidi"/>
                        <w:b/>
                        <w:bCs/>
                        <w:color w:val="FFFFFF" w:themeColor="background1"/>
                        <w:kern w:val="24"/>
                        <w:sz w:val="56"/>
                        <w:szCs w:val="56"/>
                      </w:rPr>
                      <w:br/>
                    </w:r>
                  </w:p>
                </w:txbxContent>
              </v:textbox>
              <w10:wrap anchorx="margin"/>
            </v:shape>
          </w:pict>
        </mc:Fallback>
      </mc:AlternateContent>
    </w:r>
    <w:r>
      <w:rPr>
        <w:noProof/>
        <w:lang w:val="nl-NL" w:eastAsia="nl-NL"/>
      </w:rPr>
      <w:drawing>
        <wp:anchor distT="0" distB="0" distL="114300" distR="114300" simplePos="0" relativeHeight="251664384" behindDoc="1" locked="0" layoutInCell="1" allowOverlap="1" wp14:anchorId="78CE3A6F" wp14:editId="1AA4A3F8">
          <wp:simplePos x="0" y="0"/>
          <wp:positionH relativeFrom="page">
            <wp:align>right</wp:align>
          </wp:positionH>
          <wp:positionV relativeFrom="page">
            <wp:align>top</wp:align>
          </wp:positionV>
          <wp:extent cx="7562850" cy="1631950"/>
          <wp:effectExtent l="0" t="0" r="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3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332"/>
    <w:multiLevelType w:val="hybridMultilevel"/>
    <w:tmpl w:val="4AF02FBC"/>
    <w:lvl w:ilvl="0" w:tplc="FA4E2B24">
      <w:start w:val="84"/>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5B21A1"/>
    <w:multiLevelType w:val="hybridMultilevel"/>
    <w:tmpl w:val="27A670B2"/>
    <w:lvl w:ilvl="0" w:tplc="E458C88C">
      <w:start w:val="8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B82636"/>
    <w:multiLevelType w:val="hybridMultilevel"/>
    <w:tmpl w:val="15B4F73A"/>
    <w:lvl w:ilvl="0" w:tplc="15664A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17"/>
    <w:rsid w:val="00022137"/>
    <w:rsid w:val="00030C48"/>
    <w:rsid w:val="00113DEA"/>
    <w:rsid w:val="001662C9"/>
    <w:rsid w:val="001E573D"/>
    <w:rsid w:val="0020535A"/>
    <w:rsid w:val="002421B0"/>
    <w:rsid w:val="0024309C"/>
    <w:rsid w:val="002A48C4"/>
    <w:rsid w:val="002C3FBD"/>
    <w:rsid w:val="002E52C3"/>
    <w:rsid w:val="00322D10"/>
    <w:rsid w:val="00340FD5"/>
    <w:rsid w:val="00372EE9"/>
    <w:rsid w:val="00375376"/>
    <w:rsid w:val="00395717"/>
    <w:rsid w:val="003A676E"/>
    <w:rsid w:val="003C6189"/>
    <w:rsid w:val="00476C55"/>
    <w:rsid w:val="0051711E"/>
    <w:rsid w:val="005206E9"/>
    <w:rsid w:val="00582A37"/>
    <w:rsid w:val="00592AB6"/>
    <w:rsid w:val="005B4C8E"/>
    <w:rsid w:val="005C3B5E"/>
    <w:rsid w:val="00606875"/>
    <w:rsid w:val="0062051E"/>
    <w:rsid w:val="006340AA"/>
    <w:rsid w:val="006765A2"/>
    <w:rsid w:val="0074215C"/>
    <w:rsid w:val="0074278B"/>
    <w:rsid w:val="0079479E"/>
    <w:rsid w:val="007E6A71"/>
    <w:rsid w:val="0083015C"/>
    <w:rsid w:val="00850184"/>
    <w:rsid w:val="008A36B4"/>
    <w:rsid w:val="008E3F16"/>
    <w:rsid w:val="008F660F"/>
    <w:rsid w:val="0090314A"/>
    <w:rsid w:val="00924E74"/>
    <w:rsid w:val="00991882"/>
    <w:rsid w:val="009B6A64"/>
    <w:rsid w:val="009B6FF2"/>
    <w:rsid w:val="009E56C0"/>
    <w:rsid w:val="00A17194"/>
    <w:rsid w:val="00A35A9D"/>
    <w:rsid w:val="00A442D4"/>
    <w:rsid w:val="00A71637"/>
    <w:rsid w:val="00A9128E"/>
    <w:rsid w:val="00AD1A73"/>
    <w:rsid w:val="00B14577"/>
    <w:rsid w:val="00B359F3"/>
    <w:rsid w:val="00B4570E"/>
    <w:rsid w:val="00B630E1"/>
    <w:rsid w:val="00BF2645"/>
    <w:rsid w:val="00C60DD3"/>
    <w:rsid w:val="00C848D5"/>
    <w:rsid w:val="00C9797A"/>
    <w:rsid w:val="00C97D66"/>
    <w:rsid w:val="00CD5756"/>
    <w:rsid w:val="00CF0379"/>
    <w:rsid w:val="00D00B3D"/>
    <w:rsid w:val="00D20198"/>
    <w:rsid w:val="00D63799"/>
    <w:rsid w:val="00E74D71"/>
    <w:rsid w:val="00EB3916"/>
    <w:rsid w:val="00ED1ED9"/>
    <w:rsid w:val="00EE0560"/>
    <w:rsid w:val="00EE2AA4"/>
    <w:rsid w:val="00F17627"/>
    <w:rsid w:val="00F61D00"/>
    <w:rsid w:val="00F82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EC65C9"/>
  <w15:docId w15:val="{CA6136D1-347A-4692-BF7B-CF319E30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35A"/>
    <w:rPr>
      <w:lang w:val="en-US"/>
    </w:rPr>
  </w:style>
  <w:style w:type="paragraph" w:styleId="Kop2">
    <w:name w:val="heading 2"/>
    <w:basedOn w:val="Standaard"/>
    <w:link w:val="Kop2Char"/>
    <w:uiPriority w:val="9"/>
    <w:qFormat/>
    <w:rsid w:val="005C3B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71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5717"/>
  </w:style>
  <w:style w:type="paragraph" w:styleId="Voettekst">
    <w:name w:val="footer"/>
    <w:basedOn w:val="Standaard"/>
    <w:link w:val="VoettekstChar"/>
    <w:uiPriority w:val="99"/>
    <w:unhideWhenUsed/>
    <w:rsid w:val="0039571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5717"/>
  </w:style>
  <w:style w:type="paragraph" w:styleId="Normaalweb">
    <w:name w:val="Normal (Web)"/>
    <w:basedOn w:val="Standaard"/>
    <w:uiPriority w:val="99"/>
    <w:unhideWhenUsed/>
    <w:rsid w:val="00395717"/>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Zwaar">
    <w:name w:val="Strong"/>
    <w:basedOn w:val="Standaardalinea-lettertype"/>
    <w:uiPriority w:val="22"/>
    <w:qFormat/>
    <w:rsid w:val="002421B0"/>
    <w:rPr>
      <w:b/>
      <w:bCs/>
    </w:rPr>
  </w:style>
  <w:style w:type="character" w:customStyle="1" w:styleId="apple-converted-space">
    <w:name w:val="apple-converted-space"/>
    <w:basedOn w:val="Standaardalinea-lettertype"/>
    <w:rsid w:val="002421B0"/>
  </w:style>
  <w:style w:type="character" w:styleId="Nadruk">
    <w:name w:val="Emphasis"/>
    <w:basedOn w:val="Standaardalinea-lettertype"/>
    <w:uiPriority w:val="20"/>
    <w:qFormat/>
    <w:rsid w:val="002421B0"/>
    <w:rPr>
      <w:i/>
      <w:iCs/>
    </w:rPr>
  </w:style>
  <w:style w:type="character" w:customStyle="1" w:styleId="Kop2Char">
    <w:name w:val="Kop 2 Char"/>
    <w:basedOn w:val="Standaardalinea-lettertype"/>
    <w:link w:val="Kop2"/>
    <w:uiPriority w:val="9"/>
    <w:rsid w:val="005C3B5E"/>
    <w:rPr>
      <w:rFonts w:ascii="Times New Roman" w:eastAsia="Times New Roman" w:hAnsi="Times New Roman" w:cs="Times New Roman"/>
      <w:b/>
      <w:bCs/>
      <w:sz w:val="36"/>
      <w:szCs w:val="36"/>
      <w:lang w:eastAsia="nl-NL"/>
    </w:rPr>
  </w:style>
  <w:style w:type="paragraph" w:customStyle="1" w:styleId="Ondertitel1">
    <w:name w:val="Ondertitel1"/>
    <w:basedOn w:val="Standaard"/>
    <w:rsid w:val="005C3B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C3B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B5E"/>
    <w:rPr>
      <w:rFonts w:ascii="Segoe UI" w:hAnsi="Segoe UI" w:cs="Segoe UI"/>
      <w:sz w:val="18"/>
      <w:szCs w:val="18"/>
    </w:rPr>
  </w:style>
  <w:style w:type="character" w:styleId="Verwijzingopmerking">
    <w:name w:val="annotation reference"/>
    <w:basedOn w:val="Standaardalinea-lettertype"/>
    <w:uiPriority w:val="99"/>
    <w:semiHidden/>
    <w:unhideWhenUsed/>
    <w:rsid w:val="0074278B"/>
    <w:rPr>
      <w:sz w:val="16"/>
      <w:szCs w:val="16"/>
    </w:rPr>
  </w:style>
  <w:style w:type="paragraph" w:styleId="Tekstopmerking">
    <w:name w:val="annotation text"/>
    <w:basedOn w:val="Standaard"/>
    <w:link w:val="TekstopmerkingChar"/>
    <w:uiPriority w:val="99"/>
    <w:semiHidden/>
    <w:unhideWhenUsed/>
    <w:rsid w:val="007427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78B"/>
    <w:rPr>
      <w:sz w:val="20"/>
      <w:szCs w:val="20"/>
    </w:rPr>
  </w:style>
  <w:style w:type="paragraph" w:styleId="Onderwerpvanopmerking">
    <w:name w:val="annotation subject"/>
    <w:basedOn w:val="Tekstopmerking"/>
    <w:next w:val="Tekstopmerking"/>
    <w:link w:val="OnderwerpvanopmerkingChar"/>
    <w:uiPriority w:val="99"/>
    <w:semiHidden/>
    <w:unhideWhenUsed/>
    <w:rsid w:val="0074278B"/>
    <w:rPr>
      <w:b/>
      <w:bCs/>
    </w:rPr>
  </w:style>
  <w:style w:type="character" w:customStyle="1" w:styleId="OnderwerpvanopmerkingChar">
    <w:name w:val="Onderwerp van opmerking Char"/>
    <w:basedOn w:val="TekstopmerkingChar"/>
    <w:link w:val="Onderwerpvanopmerking"/>
    <w:uiPriority w:val="99"/>
    <w:semiHidden/>
    <w:rsid w:val="0074278B"/>
    <w:rPr>
      <w:b/>
      <w:bCs/>
      <w:sz w:val="20"/>
      <w:szCs w:val="20"/>
    </w:rPr>
  </w:style>
  <w:style w:type="paragraph" w:customStyle="1" w:styleId="Default">
    <w:name w:val="Default"/>
    <w:rsid w:val="00A7163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CD5756"/>
    <w:rPr>
      <w:color w:val="0563C1" w:themeColor="hyperlink"/>
      <w:u w:val="single"/>
    </w:rPr>
  </w:style>
  <w:style w:type="paragraph" w:styleId="Lijstalinea">
    <w:name w:val="List Paragraph"/>
    <w:basedOn w:val="Standaard"/>
    <w:uiPriority w:val="34"/>
    <w:qFormat/>
    <w:rsid w:val="0020535A"/>
    <w:pPr>
      <w:ind w:left="720"/>
      <w:contextualSpacing/>
    </w:pPr>
  </w:style>
  <w:style w:type="character" w:styleId="Tekstvantijdelijkeaanduiding">
    <w:name w:val="Placeholder Text"/>
    <w:basedOn w:val="Standaardalinea-lettertype"/>
    <w:uiPriority w:val="99"/>
    <w:semiHidden/>
    <w:rsid w:val="0020535A"/>
    <w:rPr>
      <w:color w:val="808080"/>
    </w:rPr>
  </w:style>
  <w:style w:type="paragraph" w:styleId="Titel">
    <w:name w:val="Title"/>
    <w:basedOn w:val="Standaard"/>
    <w:next w:val="Standaard"/>
    <w:link w:val="TitelChar"/>
    <w:uiPriority w:val="10"/>
    <w:qFormat/>
    <w:rsid w:val="00D00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00B3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6067">
      <w:bodyDiv w:val="1"/>
      <w:marLeft w:val="0"/>
      <w:marRight w:val="0"/>
      <w:marTop w:val="0"/>
      <w:marBottom w:val="0"/>
      <w:divBdr>
        <w:top w:val="none" w:sz="0" w:space="0" w:color="auto"/>
        <w:left w:val="none" w:sz="0" w:space="0" w:color="auto"/>
        <w:bottom w:val="none" w:sz="0" w:space="0" w:color="auto"/>
        <w:right w:val="none" w:sz="0" w:space="0" w:color="auto"/>
      </w:divBdr>
      <w:divsChild>
        <w:div w:id="317341243">
          <w:marLeft w:val="0"/>
          <w:marRight w:val="0"/>
          <w:marTop w:val="0"/>
          <w:marBottom w:val="0"/>
          <w:divBdr>
            <w:top w:val="none" w:sz="0" w:space="0" w:color="auto"/>
            <w:left w:val="none" w:sz="0" w:space="0" w:color="auto"/>
            <w:bottom w:val="none" w:sz="0" w:space="0" w:color="auto"/>
            <w:right w:val="none" w:sz="0" w:space="0" w:color="auto"/>
          </w:divBdr>
        </w:div>
      </w:divsChild>
    </w:div>
    <w:div w:id="133838378">
      <w:bodyDiv w:val="1"/>
      <w:marLeft w:val="0"/>
      <w:marRight w:val="0"/>
      <w:marTop w:val="0"/>
      <w:marBottom w:val="0"/>
      <w:divBdr>
        <w:top w:val="none" w:sz="0" w:space="0" w:color="auto"/>
        <w:left w:val="none" w:sz="0" w:space="0" w:color="auto"/>
        <w:bottom w:val="none" w:sz="0" w:space="0" w:color="auto"/>
        <w:right w:val="none" w:sz="0" w:space="0" w:color="auto"/>
      </w:divBdr>
    </w:div>
    <w:div w:id="2449947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186">
          <w:marLeft w:val="0"/>
          <w:marRight w:val="0"/>
          <w:marTop w:val="0"/>
          <w:marBottom w:val="0"/>
          <w:divBdr>
            <w:top w:val="none" w:sz="0" w:space="0" w:color="auto"/>
            <w:left w:val="none" w:sz="0" w:space="0" w:color="auto"/>
            <w:bottom w:val="none" w:sz="0" w:space="0" w:color="auto"/>
            <w:right w:val="none" w:sz="0" w:space="0" w:color="auto"/>
          </w:divBdr>
        </w:div>
      </w:divsChild>
    </w:div>
    <w:div w:id="582646186">
      <w:bodyDiv w:val="1"/>
      <w:marLeft w:val="0"/>
      <w:marRight w:val="0"/>
      <w:marTop w:val="0"/>
      <w:marBottom w:val="0"/>
      <w:divBdr>
        <w:top w:val="none" w:sz="0" w:space="0" w:color="auto"/>
        <w:left w:val="none" w:sz="0" w:space="0" w:color="auto"/>
        <w:bottom w:val="none" w:sz="0" w:space="0" w:color="auto"/>
        <w:right w:val="none" w:sz="0" w:space="0" w:color="auto"/>
      </w:divBdr>
    </w:div>
    <w:div w:id="618609396">
      <w:bodyDiv w:val="1"/>
      <w:marLeft w:val="0"/>
      <w:marRight w:val="0"/>
      <w:marTop w:val="0"/>
      <w:marBottom w:val="0"/>
      <w:divBdr>
        <w:top w:val="none" w:sz="0" w:space="0" w:color="auto"/>
        <w:left w:val="none" w:sz="0" w:space="0" w:color="auto"/>
        <w:bottom w:val="none" w:sz="0" w:space="0" w:color="auto"/>
        <w:right w:val="none" w:sz="0" w:space="0" w:color="auto"/>
      </w:divBdr>
      <w:divsChild>
        <w:div w:id="689838780">
          <w:marLeft w:val="0"/>
          <w:marRight w:val="0"/>
          <w:marTop w:val="0"/>
          <w:marBottom w:val="0"/>
          <w:divBdr>
            <w:top w:val="none" w:sz="0" w:space="0" w:color="auto"/>
            <w:left w:val="none" w:sz="0" w:space="0" w:color="auto"/>
            <w:bottom w:val="none" w:sz="0" w:space="0" w:color="auto"/>
            <w:right w:val="none" w:sz="0" w:space="0" w:color="auto"/>
          </w:divBdr>
        </w:div>
        <w:div w:id="213279165">
          <w:marLeft w:val="0"/>
          <w:marRight w:val="0"/>
          <w:marTop w:val="0"/>
          <w:marBottom w:val="0"/>
          <w:divBdr>
            <w:top w:val="none" w:sz="0" w:space="0" w:color="auto"/>
            <w:left w:val="none" w:sz="0" w:space="0" w:color="auto"/>
            <w:bottom w:val="none" w:sz="0" w:space="0" w:color="auto"/>
            <w:right w:val="none" w:sz="0" w:space="0" w:color="auto"/>
          </w:divBdr>
          <w:divsChild>
            <w:div w:id="1068066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4762686">
      <w:bodyDiv w:val="1"/>
      <w:marLeft w:val="0"/>
      <w:marRight w:val="0"/>
      <w:marTop w:val="0"/>
      <w:marBottom w:val="0"/>
      <w:divBdr>
        <w:top w:val="none" w:sz="0" w:space="0" w:color="auto"/>
        <w:left w:val="none" w:sz="0" w:space="0" w:color="auto"/>
        <w:bottom w:val="none" w:sz="0" w:space="0" w:color="auto"/>
        <w:right w:val="none" w:sz="0" w:space="0" w:color="auto"/>
      </w:divBdr>
    </w:div>
    <w:div w:id="1136871489">
      <w:bodyDiv w:val="1"/>
      <w:marLeft w:val="0"/>
      <w:marRight w:val="0"/>
      <w:marTop w:val="0"/>
      <w:marBottom w:val="0"/>
      <w:divBdr>
        <w:top w:val="none" w:sz="0" w:space="0" w:color="auto"/>
        <w:left w:val="none" w:sz="0" w:space="0" w:color="auto"/>
        <w:bottom w:val="none" w:sz="0" w:space="0" w:color="auto"/>
        <w:right w:val="none" w:sz="0" w:space="0" w:color="auto"/>
      </w:divBdr>
      <w:divsChild>
        <w:div w:id="1248004962">
          <w:marLeft w:val="0"/>
          <w:marRight w:val="0"/>
          <w:marTop w:val="0"/>
          <w:marBottom w:val="0"/>
          <w:divBdr>
            <w:top w:val="none" w:sz="0" w:space="0" w:color="auto"/>
            <w:left w:val="none" w:sz="0" w:space="0" w:color="auto"/>
            <w:bottom w:val="none" w:sz="0" w:space="0" w:color="auto"/>
            <w:right w:val="none" w:sz="0" w:space="0" w:color="auto"/>
          </w:divBdr>
          <w:divsChild>
            <w:div w:id="325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108">
      <w:bodyDiv w:val="1"/>
      <w:marLeft w:val="0"/>
      <w:marRight w:val="0"/>
      <w:marTop w:val="0"/>
      <w:marBottom w:val="0"/>
      <w:divBdr>
        <w:top w:val="none" w:sz="0" w:space="0" w:color="auto"/>
        <w:left w:val="none" w:sz="0" w:space="0" w:color="auto"/>
        <w:bottom w:val="none" w:sz="0" w:space="0" w:color="auto"/>
        <w:right w:val="none" w:sz="0" w:space="0" w:color="auto"/>
      </w:divBdr>
    </w:div>
    <w:div w:id="1447501383">
      <w:bodyDiv w:val="1"/>
      <w:marLeft w:val="0"/>
      <w:marRight w:val="0"/>
      <w:marTop w:val="0"/>
      <w:marBottom w:val="0"/>
      <w:divBdr>
        <w:top w:val="none" w:sz="0" w:space="0" w:color="auto"/>
        <w:left w:val="none" w:sz="0" w:space="0" w:color="auto"/>
        <w:bottom w:val="none" w:sz="0" w:space="0" w:color="auto"/>
        <w:right w:val="none" w:sz="0" w:space="0" w:color="auto"/>
      </w:divBdr>
    </w:div>
    <w:div w:id="1521432730">
      <w:bodyDiv w:val="1"/>
      <w:marLeft w:val="0"/>
      <w:marRight w:val="0"/>
      <w:marTop w:val="0"/>
      <w:marBottom w:val="0"/>
      <w:divBdr>
        <w:top w:val="none" w:sz="0" w:space="0" w:color="auto"/>
        <w:left w:val="none" w:sz="0" w:space="0" w:color="auto"/>
        <w:bottom w:val="none" w:sz="0" w:space="0" w:color="auto"/>
        <w:right w:val="none" w:sz="0" w:space="0" w:color="auto"/>
      </w:divBdr>
    </w:div>
    <w:div w:id="1704552742">
      <w:bodyDiv w:val="1"/>
      <w:marLeft w:val="0"/>
      <w:marRight w:val="0"/>
      <w:marTop w:val="0"/>
      <w:marBottom w:val="0"/>
      <w:divBdr>
        <w:top w:val="none" w:sz="0" w:space="0" w:color="auto"/>
        <w:left w:val="none" w:sz="0" w:space="0" w:color="auto"/>
        <w:bottom w:val="none" w:sz="0" w:space="0" w:color="auto"/>
        <w:right w:val="none" w:sz="0" w:space="0" w:color="auto"/>
      </w:divBdr>
    </w:div>
    <w:div w:id="17585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iekeuze123.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'[levering NSE18 naar ba-ma-ad voor VH.xlsx]Blad2'!$B$31</c:f>
              <c:strCache>
                <c:ptCount val="1"/>
                <c:pt idx="0">
                  <c:v>Je studie in het algemeen</c:v>
                </c:pt>
              </c:strCache>
            </c:strRef>
          </c:tx>
          <c:spPr>
            <a:solidFill>
              <a:schemeClr val="accent1"/>
            </a:solidFill>
            <a:ln>
              <a:noFill/>
            </a:ln>
            <a:effectLst/>
          </c:spPr>
          <c:invertIfNegative val="0"/>
          <c:cat>
            <c:strRef>
              <c:f>'[levering NSE18 naar ba-ma-ad voor VH.xlsx]Blad2'!$A$32:$A$35</c:f>
              <c:strCache>
                <c:ptCount val="4"/>
                <c:pt idx="0">
                  <c:v>Totaal</c:v>
                </c:pt>
                <c:pt idx="1">
                  <c:v>Ad</c:v>
                </c:pt>
                <c:pt idx="2">
                  <c:v>master</c:v>
                </c:pt>
                <c:pt idx="3">
                  <c:v>bachelor</c:v>
                </c:pt>
              </c:strCache>
            </c:strRef>
          </c:cat>
          <c:val>
            <c:numRef>
              <c:f>'[levering NSE18 naar ba-ma-ad voor VH.xlsx]Blad2'!$B$32:$B$35</c:f>
              <c:numCache>
                <c:formatCode>0.00</c:formatCode>
                <c:ptCount val="4"/>
                <c:pt idx="0" formatCode="General">
                  <c:v>3.82</c:v>
                </c:pt>
                <c:pt idx="1">
                  <c:v>3.7845</c:v>
                </c:pt>
                <c:pt idx="2" formatCode="General">
                  <c:v>3.93</c:v>
                </c:pt>
                <c:pt idx="3" formatCode="General">
                  <c:v>3.84</c:v>
                </c:pt>
              </c:numCache>
            </c:numRef>
          </c:val>
          <c:extLst>
            <c:ext xmlns:c16="http://schemas.microsoft.com/office/drawing/2014/chart" uri="{C3380CC4-5D6E-409C-BE32-E72D297353CC}">
              <c16:uniqueId val="{00000000-9CB4-4EBF-B93E-D77B54BE92F3}"/>
            </c:ext>
          </c:extLst>
        </c:ser>
        <c:dLbls>
          <c:showLegendKey val="0"/>
          <c:showVal val="0"/>
          <c:showCatName val="0"/>
          <c:showSerName val="0"/>
          <c:showPercent val="0"/>
          <c:showBubbleSize val="0"/>
        </c:dLbls>
        <c:gapWidth val="219"/>
        <c:axId val="1960159648"/>
        <c:axId val="1960161312"/>
      </c:barChart>
      <c:catAx>
        <c:axId val="1960159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60161312"/>
        <c:crosses val="autoZero"/>
        <c:auto val="1"/>
        <c:lblAlgn val="ctr"/>
        <c:lblOffset val="100"/>
        <c:noMultiLvlLbl val="0"/>
      </c:catAx>
      <c:valAx>
        <c:axId val="1960161312"/>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96015964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0BAD-61AB-4EA8-BB1F-213ED13B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HBOraad</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Kloosterman</dc:creator>
  <cp:keywords/>
  <dc:description/>
  <cp:lastModifiedBy>J. Scheele</cp:lastModifiedBy>
  <cp:revision>6</cp:revision>
  <cp:lastPrinted>2016-12-09T14:02:00Z</cp:lastPrinted>
  <dcterms:created xsi:type="dcterms:W3CDTF">2018-06-27T09:18:00Z</dcterms:created>
  <dcterms:modified xsi:type="dcterms:W3CDTF">2018-06-27T12:15:00Z</dcterms:modified>
</cp:coreProperties>
</file>