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520C5B" w14:paraId="5D72968F" w14:textId="77777777" w:rsidTr="00E604AA">
        <w:trPr>
          <w:trHeight w:val="1514"/>
        </w:trPr>
        <w:tc>
          <w:tcPr>
            <w:tcW w:w="7522" w:type="dxa"/>
            <w:tcBorders>
              <w:top w:val="nil"/>
              <w:left w:val="nil"/>
              <w:bottom w:val="nil"/>
              <w:right w:val="nil"/>
            </w:tcBorders>
            <w:tcMar>
              <w:left w:w="0" w:type="dxa"/>
              <w:right w:w="0" w:type="dxa"/>
            </w:tcMar>
          </w:tcPr>
          <w:p w14:paraId="4E9437C3" w14:textId="77777777" w:rsidR="005B034C" w:rsidRDefault="00A956E4" w:rsidP="003A320F">
            <w:bookmarkStart w:id="0" w:name="_GoBack"/>
            <w:bookmarkEnd w:id="0"/>
            <w:r>
              <w:t>De voorzitter van de Tweede kamer der Staten-Generaal</w:t>
            </w:r>
          </w:p>
          <w:p w14:paraId="272C19F8" w14:textId="77777777" w:rsidR="00EE3212" w:rsidRDefault="00A956E4" w:rsidP="003A320F">
            <w:r>
              <w:t>Postbus</w:t>
            </w:r>
            <w:r w:rsidR="007F7207" w:rsidRPr="007F7207">
              <w:t xml:space="preserve"> </w:t>
            </w:r>
            <w:r>
              <w:t>20018</w:t>
            </w:r>
          </w:p>
          <w:p w14:paraId="61ED08AC" w14:textId="77777777" w:rsidR="007F7207" w:rsidRPr="007F7207" w:rsidRDefault="00A956E4" w:rsidP="003A320F">
            <w:r>
              <w:t>2500 EA</w:t>
            </w:r>
            <w:r w:rsidR="003F573F">
              <w:t xml:space="preserve"> </w:t>
            </w:r>
            <w:r>
              <w:t xml:space="preserve"> DEN HAAG</w:t>
            </w:r>
          </w:p>
        </w:tc>
      </w:tr>
    </w:tbl>
    <w:tbl>
      <w:tblPr>
        <w:tblStyle w:val="Tabelraster"/>
        <w:tblpPr w:vertAnchor="page" w:horzAnchor="page" w:tblpX="1589" w:tblpY="564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29"/>
        <w:gridCol w:w="6571"/>
      </w:tblGrid>
      <w:tr w:rsidR="00520C5B" w14:paraId="70967444" w14:textId="77777777" w:rsidTr="00B37966">
        <w:trPr>
          <w:trHeight w:hRule="exact" w:val="289"/>
        </w:trPr>
        <w:tc>
          <w:tcPr>
            <w:tcW w:w="7500" w:type="dxa"/>
            <w:gridSpan w:val="2"/>
          </w:tcPr>
          <w:p w14:paraId="1006D141" w14:textId="77777777" w:rsidR="00921BE9" w:rsidRDefault="00A956E4" w:rsidP="003A320F">
            <w:pPr>
              <w:rPr>
                <w:lang w:eastAsia="en-US"/>
              </w:rPr>
            </w:pPr>
            <w:r>
              <w:t>Datum</w:t>
            </w:r>
          </w:p>
        </w:tc>
      </w:tr>
      <w:tr w:rsidR="00520C5B" w14:paraId="73D685CF" w14:textId="77777777" w:rsidTr="006709A0">
        <w:trPr>
          <w:trHeight w:val="368"/>
        </w:trPr>
        <w:tc>
          <w:tcPr>
            <w:tcW w:w="929" w:type="dxa"/>
          </w:tcPr>
          <w:p w14:paraId="56F743BF" w14:textId="77777777" w:rsidR="00AA6BDC" w:rsidRPr="00AA4791" w:rsidRDefault="00A956E4" w:rsidP="003A320F">
            <w:pPr>
              <w:rPr>
                <w:lang w:eastAsia="en-US"/>
              </w:rPr>
            </w:pPr>
            <w:r>
              <w:t>Betreft</w:t>
            </w:r>
            <w:r w:rsidR="008A5FC4">
              <w:tab/>
            </w:r>
            <w:r w:rsidR="008A5FC4">
              <w:tab/>
            </w:r>
          </w:p>
        </w:tc>
        <w:tc>
          <w:tcPr>
            <w:tcW w:w="6571" w:type="dxa"/>
          </w:tcPr>
          <w:p w14:paraId="66EED7B7" w14:textId="77777777" w:rsidR="00133DAB" w:rsidRDefault="00A956E4" w:rsidP="003A320F">
            <w:pPr>
              <w:ind w:left="64"/>
              <w:rPr>
                <w:lang w:eastAsia="en-US"/>
              </w:rPr>
            </w:pPr>
            <w:r>
              <w:rPr>
                <w:lang w:eastAsia="en-US"/>
              </w:rPr>
              <w:t>Besteding opbrengsten leenstelsel en stand van zaken kwaliteitsafspraken</w:t>
            </w:r>
            <w:r w:rsidR="00807D6C">
              <w:rPr>
                <w:lang w:eastAsia="en-US"/>
              </w:rPr>
              <w:t xml:space="preserve"> </w:t>
            </w:r>
          </w:p>
        </w:tc>
      </w:tr>
    </w:tbl>
    <w:p w14:paraId="07D8397C" w14:textId="77777777" w:rsidR="00520C5B" w:rsidRDefault="00520C5B" w:rsidP="003A320F"/>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520C5B" w14:paraId="4302DCE8" w14:textId="77777777" w:rsidTr="00461257">
        <w:tc>
          <w:tcPr>
            <w:tcW w:w="2160" w:type="dxa"/>
          </w:tcPr>
          <w:p w14:paraId="0D21F117" w14:textId="77777777" w:rsidR="00DE7E30" w:rsidRPr="00A12485" w:rsidRDefault="00A956E4" w:rsidP="003A320F">
            <w:pPr>
              <w:rPr>
                <w:b/>
                <w:sz w:val="13"/>
                <w:szCs w:val="13"/>
              </w:rPr>
            </w:pPr>
            <w:r>
              <w:rPr>
                <w:b/>
                <w:sz w:val="13"/>
                <w:szCs w:val="13"/>
              </w:rPr>
              <w:t>Hoger Onderwijs en Studiefinanciering</w:t>
            </w:r>
          </w:p>
          <w:p w14:paraId="6A2AA4D1" w14:textId="77777777" w:rsidR="004425A7" w:rsidRDefault="00A956E4" w:rsidP="003A320F">
            <w:pPr>
              <w:pStyle w:val="Huisstijl-Gegeven"/>
              <w:spacing w:after="0" w:line="240" w:lineRule="atLeast"/>
            </w:pPr>
            <w:r>
              <w:t xml:space="preserve">Rijnstraat 50 </w:t>
            </w:r>
          </w:p>
          <w:p w14:paraId="0101DF3D" w14:textId="77777777" w:rsidR="004425A7" w:rsidRDefault="00A956E4" w:rsidP="003A320F">
            <w:pPr>
              <w:pStyle w:val="Huisstijl-Gegeven"/>
              <w:spacing w:after="0" w:line="240" w:lineRule="atLeast"/>
            </w:pPr>
            <w:r>
              <w:t>Den Haag</w:t>
            </w:r>
          </w:p>
          <w:p w14:paraId="3FDDDD8F" w14:textId="77777777" w:rsidR="004425A7" w:rsidRDefault="00A956E4" w:rsidP="003A320F">
            <w:pPr>
              <w:pStyle w:val="Huisstijl-Gegeven"/>
              <w:spacing w:after="0" w:line="240" w:lineRule="atLeast"/>
            </w:pPr>
            <w:r>
              <w:t>Postbus 16375</w:t>
            </w:r>
          </w:p>
          <w:p w14:paraId="3D898BD8" w14:textId="77777777" w:rsidR="004425A7" w:rsidRDefault="00A956E4" w:rsidP="003A320F">
            <w:pPr>
              <w:pStyle w:val="Huisstijl-Gegeven"/>
              <w:spacing w:after="0" w:line="240" w:lineRule="atLeast"/>
            </w:pPr>
            <w:r>
              <w:t>2500 BJ Den Haag</w:t>
            </w:r>
          </w:p>
          <w:p w14:paraId="60C6BB0D" w14:textId="77777777" w:rsidR="008C4C17" w:rsidRPr="009F55AC" w:rsidRDefault="00A956E4" w:rsidP="003A320F">
            <w:pPr>
              <w:pStyle w:val="Huisstijl-Gegeven"/>
              <w:spacing w:after="90" w:line="240" w:lineRule="atLeast"/>
            </w:pPr>
            <w:r>
              <w:t>www.rijksoverheid.nl</w:t>
            </w:r>
          </w:p>
        </w:tc>
      </w:tr>
      <w:tr w:rsidR="00520C5B" w14:paraId="68493247" w14:textId="77777777" w:rsidTr="00461257">
        <w:trPr>
          <w:trHeight w:hRule="exact" w:val="200"/>
        </w:trPr>
        <w:tc>
          <w:tcPr>
            <w:tcW w:w="2160" w:type="dxa"/>
          </w:tcPr>
          <w:p w14:paraId="5FE17B6F" w14:textId="77777777" w:rsidR="008C4C17" w:rsidRPr="00356D2B" w:rsidRDefault="008C4C17" w:rsidP="003A320F">
            <w:pPr>
              <w:spacing w:after="90"/>
              <w:rPr>
                <w:sz w:val="13"/>
                <w:szCs w:val="13"/>
              </w:rPr>
            </w:pPr>
          </w:p>
        </w:tc>
      </w:tr>
      <w:tr w:rsidR="00520C5B" w14:paraId="4E43A6AF" w14:textId="77777777" w:rsidTr="00461257">
        <w:trPr>
          <w:trHeight w:val="450"/>
        </w:trPr>
        <w:tc>
          <w:tcPr>
            <w:tcW w:w="2160" w:type="dxa"/>
          </w:tcPr>
          <w:p w14:paraId="5B1ACFA4" w14:textId="77777777" w:rsidR="00BF1BE1" w:rsidRDefault="00A956E4" w:rsidP="003A320F">
            <w:pPr>
              <w:pStyle w:val="Huisstijl-Kopje"/>
              <w:spacing w:line="240" w:lineRule="atLeast"/>
            </w:pPr>
            <w:r>
              <w:t>Onze referentie</w:t>
            </w:r>
          </w:p>
          <w:p w14:paraId="2E9CBE77" w14:textId="77777777" w:rsidR="008C4C17" w:rsidRPr="00FA7882" w:rsidRDefault="00A956E4" w:rsidP="003A320F">
            <w:pPr>
              <w:rPr>
                <w:sz w:val="13"/>
                <w:szCs w:val="13"/>
              </w:rPr>
            </w:pPr>
            <w:r>
              <w:rPr>
                <w:sz w:val="13"/>
                <w:szCs w:val="13"/>
              </w:rPr>
              <w:t>16821575</w:t>
            </w:r>
            <w:r w:rsidR="005108E7">
              <w:rPr>
                <w:sz w:val="13"/>
                <w:szCs w:val="13"/>
              </w:rPr>
              <w:fldChar w:fldCharType="begin"/>
            </w:r>
            <w:r w:rsidR="005108E7">
              <w:rPr>
                <w:sz w:val="13"/>
                <w:szCs w:val="13"/>
              </w:rPr>
              <w:instrText xml:space="preserve"> DOCPROPERTY  cs_objectid  \* MERGEFORMAT </w:instrText>
            </w:r>
            <w:r w:rsidR="005108E7">
              <w:rPr>
                <w:sz w:val="13"/>
                <w:szCs w:val="13"/>
              </w:rPr>
              <w:fldChar w:fldCharType="end"/>
            </w:r>
            <w:r w:rsidR="00610631">
              <w:rPr>
                <w:sz w:val="13"/>
                <w:szCs w:val="13"/>
              </w:rPr>
              <w:fldChar w:fldCharType="begin"/>
            </w:r>
            <w:r w:rsidR="00610631">
              <w:rPr>
                <w:sz w:val="13"/>
                <w:szCs w:val="13"/>
              </w:rPr>
              <w:instrText xml:space="preserve"> DOCPROPERTY  cs_objectid  \* MERGEFORMAT </w:instrText>
            </w:r>
            <w:r w:rsidR="00610631">
              <w:rPr>
                <w:sz w:val="13"/>
                <w:szCs w:val="13"/>
              </w:rPr>
              <w:fldChar w:fldCharType="end"/>
            </w:r>
          </w:p>
        </w:tc>
      </w:tr>
      <w:tr w:rsidR="00520C5B" w14:paraId="628DB7A2" w14:textId="77777777" w:rsidTr="00461257">
        <w:trPr>
          <w:trHeight w:val="135"/>
        </w:trPr>
        <w:tc>
          <w:tcPr>
            <w:tcW w:w="2160" w:type="dxa"/>
          </w:tcPr>
          <w:p w14:paraId="145E5E0B" w14:textId="77777777" w:rsidR="00213C5E" w:rsidRPr="002C0B66" w:rsidRDefault="00A956E4" w:rsidP="003A320F">
            <w:pPr>
              <w:pStyle w:val="Huisstijl-Kopje"/>
              <w:spacing w:line="240" w:lineRule="atLeast"/>
            </w:pPr>
            <w:r w:rsidRPr="002C0B66">
              <w:t>Uw brief van</w:t>
            </w:r>
          </w:p>
          <w:p w14:paraId="034A9701" w14:textId="77777777" w:rsidR="00213C5E" w:rsidRPr="002C0B66" w:rsidRDefault="00A956E4" w:rsidP="003A320F">
            <w:pPr>
              <w:spacing w:after="90"/>
              <w:rPr>
                <w:sz w:val="13"/>
                <w:szCs w:val="13"/>
              </w:rPr>
            </w:pPr>
            <w:r>
              <w:rPr>
                <w:sz w:val="13"/>
                <w:szCs w:val="13"/>
                <w:lang w:val="en-US"/>
              </w:rPr>
              <w:t xml:space="preserve">26 </w:t>
            </w:r>
            <w:proofErr w:type="spellStart"/>
            <w:r>
              <w:rPr>
                <w:sz w:val="13"/>
                <w:szCs w:val="13"/>
                <w:lang w:val="en-US"/>
              </w:rPr>
              <w:t>september</w:t>
            </w:r>
            <w:proofErr w:type="spellEnd"/>
            <w:r>
              <w:rPr>
                <w:sz w:val="13"/>
                <w:szCs w:val="13"/>
                <w:lang w:val="en-US"/>
              </w:rPr>
              <w:t xml:space="preserve"> 2019</w:t>
            </w:r>
          </w:p>
          <w:p w14:paraId="5F8FAE05" w14:textId="77777777" w:rsidR="00723D44" w:rsidRPr="002C0B66" w:rsidRDefault="00A956E4" w:rsidP="003A320F">
            <w:pPr>
              <w:pStyle w:val="Huisstijl-Kopje"/>
              <w:spacing w:line="240" w:lineRule="atLeast"/>
            </w:pPr>
            <w:r w:rsidRPr="002C0B66">
              <w:t>Uw referentie</w:t>
            </w:r>
          </w:p>
          <w:p w14:paraId="2613D98D" w14:textId="77777777" w:rsidR="00723D44" w:rsidRPr="00827DEB" w:rsidRDefault="00A956E4" w:rsidP="003A320F">
            <w:pPr>
              <w:spacing w:after="90"/>
              <w:rPr>
                <w:sz w:val="13"/>
                <w:szCs w:val="13"/>
                <w:lang w:val="en-US"/>
              </w:rPr>
            </w:pPr>
            <w:r>
              <w:rPr>
                <w:sz w:val="13"/>
                <w:szCs w:val="13"/>
                <w:lang w:val="en-US"/>
              </w:rPr>
              <w:t>2019D37593</w:t>
            </w:r>
          </w:p>
        </w:tc>
      </w:tr>
    </w:tbl>
    <w:p w14:paraId="71CAB1A4" w14:textId="77777777" w:rsidR="009F55AC" w:rsidRPr="00DC7B89" w:rsidRDefault="009F55AC" w:rsidP="003A320F">
      <w:pPr>
        <w:autoSpaceDE w:val="0"/>
        <w:autoSpaceDN w:val="0"/>
        <w:adjustRightInd w:val="0"/>
        <w:rPr>
          <w:rFonts w:cs="Verdana"/>
          <w:szCs w:val="18"/>
          <w:lang w:eastAsia="en-US"/>
        </w:rPr>
      </w:pPr>
      <w:r w:rsidRPr="00DC7B89">
        <w:rPr>
          <w:rFonts w:cs="Verdana"/>
          <w:szCs w:val="18"/>
          <w:lang w:eastAsia="en-US"/>
        </w:rPr>
        <w:t xml:space="preserve">Met deze brief </w:t>
      </w:r>
      <w:r w:rsidR="003929D8">
        <w:rPr>
          <w:rFonts w:cs="Verdana"/>
          <w:szCs w:val="18"/>
          <w:lang w:eastAsia="en-US"/>
        </w:rPr>
        <w:t>reageer ik</w:t>
      </w:r>
      <w:r w:rsidRPr="00DC7B89">
        <w:rPr>
          <w:rFonts w:cs="Verdana"/>
          <w:szCs w:val="18"/>
          <w:lang w:eastAsia="en-US"/>
        </w:rPr>
        <w:t xml:space="preserve"> op het verzoek van de vaste commissie voor Onderwijs, Cultuur en Wetenschap (d.d. 26 september 2019) om een beeld te schetsen waaraan de opbrengst van het leenstelsel wordt besteed</w:t>
      </w:r>
    </w:p>
    <w:p w14:paraId="080DE115" w14:textId="77777777" w:rsidR="00520C5B" w:rsidRPr="00DC7B89" w:rsidRDefault="009F55AC" w:rsidP="003A320F">
      <w:pPr>
        <w:autoSpaceDE w:val="0"/>
        <w:autoSpaceDN w:val="0"/>
        <w:adjustRightInd w:val="0"/>
        <w:rPr>
          <w:rFonts w:cs="Verdana"/>
          <w:szCs w:val="18"/>
          <w:lang w:eastAsia="en-US"/>
        </w:rPr>
      </w:pPr>
      <w:r w:rsidRPr="00DC7B89">
        <w:rPr>
          <w:rFonts w:cs="Verdana"/>
          <w:szCs w:val="18"/>
          <w:lang w:eastAsia="en-US"/>
        </w:rPr>
        <w:t xml:space="preserve">en om de laatste stand van zaken rondom de kwaliteitsafspraken te geven. </w:t>
      </w:r>
    </w:p>
    <w:p w14:paraId="1780A9E3" w14:textId="77777777" w:rsidR="009F55AC" w:rsidRPr="00DC7B89" w:rsidRDefault="009F55AC" w:rsidP="003A320F">
      <w:pPr>
        <w:autoSpaceDE w:val="0"/>
        <w:autoSpaceDN w:val="0"/>
        <w:adjustRightInd w:val="0"/>
        <w:rPr>
          <w:rFonts w:cs="Verdana"/>
          <w:szCs w:val="18"/>
          <w:lang w:eastAsia="en-US"/>
        </w:rPr>
      </w:pPr>
    </w:p>
    <w:p w14:paraId="3E023957" w14:textId="77777777" w:rsidR="00B47DFA" w:rsidRDefault="00691AAB" w:rsidP="003A320F">
      <w:pPr>
        <w:autoSpaceDE w:val="0"/>
        <w:autoSpaceDN w:val="0"/>
        <w:adjustRightInd w:val="0"/>
        <w:rPr>
          <w:rFonts w:cs="Verdana"/>
          <w:szCs w:val="18"/>
          <w:lang w:eastAsia="en-US"/>
        </w:rPr>
      </w:pPr>
      <w:r w:rsidRPr="00DC7B89">
        <w:rPr>
          <w:rFonts w:cs="Verdana"/>
          <w:szCs w:val="18"/>
          <w:lang w:eastAsia="en-US"/>
        </w:rPr>
        <w:t>Bij</w:t>
      </w:r>
      <w:r w:rsidR="00E82F7C">
        <w:rPr>
          <w:rFonts w:cs="Verdana"/>
          <w:szCs w:val="18"/>
          <w:lang w:eastAsia="en-US"/>
        </w:rPr>
        <w:t xml:space="preserve"> het akkoord over </w:t>
      </w:r>
      <w:r w:rsidR="00A957D9">
        <w:rPr>
          <w:rFonts w:cs="Verdana"/>
          <w:szCs w:val="18"/>
          <w:lang w:eastAsia="en-US"/>
        </w:rPr>
        <w:t>het studievoorschot in 2014</w:t>
      </w:r>
      <w:r w:rsidR="00E82F7C">
        <w:rPr>
          <w:rFonts w:cs="Verdana"/>
          <w:szCs w:val="18"/>
          <w:lang w:eastAsia="en-US"/>
        </w:rPr>
        <w:t xml:space="preserve"> stond centraal dat de studievoorschotmiddelen ten goede zouden komen aan de kwaliteit van het onderwijs. Dat was en is nog a</w:t>
      </w:r>
      <w:r w:rsidR="00A957D9">
        <w:rPr>
          <w:rFonts w:cs="Verdana"/>
          <w:szCs w:val="18"/>
          <w:lang w:eastAsia="en-US"/>
        </w:rPr>
        <w:t>ltijd het belangrijkste doel van</w:t>
      </w:r>
      <w:r w:rsidR="00E82F7C">
        <w:rPr>
          <w:rFonts w:cs="Verdana"/>
          <w:szCs w:val="18"/>
          <w:lang w:eastAsia="en-US"/>
        </w:rPr>
        <w:t xml:space="preserve"> de inzet van de studievoorschotmiddelen. </w:t>
      </w:r>
      <w:r w:rsidR="00B47DFA">
        <w:rPr>
          <w:rFonts w:cs="Verdana"/>
          <w:szCs w:val="18"/>
          <w:lang w:eastAsia="en-US"/>
        </w:rPr>
        <w:t xml:space="preserve">Dat is een belofte aan de student die we gestand moeten </w:t>
      </w:r>
      <w:r w:rsidR="00D35992">
        <w:rPr>
          <w:rFonts w:cs="Verdana"/>
          <w:szCs w:val="18"/>
          <w:lang w:eastAsia="en-US"/>
        </w:rPr>
        <w:t>doen</w:t>
      </w:r>
      <w:r w:rsidR="00B47DFA">
        <w:rPr>
          <w:rFonts w:cs="Verdana"/>
          <w:szCs w:val="18"/>
          <w:lang w:eastAsia="en-US"/>
        </w:rPr>
        <w:t xml:space="preserve">. </w:t>
      </w:r>
    </w:p>
    <w:p w14:paraId="765E8A35" w14:textId="77777777" w:rsidR="00A957D9" w:rsidRDefault="00A957D9" w:rsidP="003A320F">
      <w:pPr>
        <w:autoSpaceDE w:val="0"/>
        <w:autoSpaceDN w:val="0"/>
        <w:adjustRightInd w:val="0"/>
        <w:rPr>
          <w:szCs w:val="18"/>
        </w:rPr>
      </w:pPr>
    </w:p>
    <w:p w14:paraId="23E8F7A9" w14:textId="77777777" w:rsidR="00A84DC7" w:rsidRDefault="00E529F5" w:rsidP="003A320F">
      <w:pPr>
        <w:autoSpaceDE w:val="0"/>
        <w:autoSpaceDN w:val="0"/>
        <w:adjustRightInd w:val="0"/>
        <w:rPr>
          <w:rFonts w:cs="Verdana"/>
          <w:szCs w:val="18"/>
          <w:lang w:eastAsia="en-US"/>
        </w:rPr>
      </w:pPr>
      <w:r w:rsidRPr="00DC7B89">
        <w:rPr>
          <w:rFonts w:cs="Verdana"/>
          <w:szCs w:val="18"/>
          <w:lang w:eastAsia="en-US"/>
        </w:rPr>
        <w:t>He</w:t>
      </w:r>
      <w:r w:rsidR="00691AAB" w:rsidRPr="00DC7B89">
        <w:rPr>
          <w:rFonts w:cs="Verdana"/>
          <w:szCs w:val="18"/>
          <w:lang w:eastAsia="en-US"/>
        </w:rPr>
        <w:t xml:space="preserve">t grootste deel van de </w:t>
      </w:r>
      <w:r w:rsidR="00B47DFA">
        <w:rPr>
          <w:rFonts w:cs="Verdana"/>
          <w:szCs w:val="18"/>
          <w:lang w:eastAsia="en-US"/>
        </w:rPr>
        <w:t>studievoorschot</w:t>
      </w:r>
      <w:r w:rsidR="00691AAB" w:rsidRPr="00DC7B89">
        <w:rPr>
          <w:rFonts w:cs="Verdana"/>
          <w:szCs w:val="18"/>
          <w:lang w:eastAsia="en-US"/>
        </w:rPr>
        <w:t xml:space="preserve">middelen </w:t>
      </w:r>
      <w:r w:rsidRPr="00DC7B89">
        <w:rPr>
          <w:rFonts w:cs="Verdana"/>
          <w:szCs w:val="18"/>
          <w:lang w:eastAsia="en-US"/>
        </w:rPr>
        <w:t>is verbonden aan d</w:t>
      </w:r>
      <w:r w:rsidR="00E82F7C">
        <w:rPr>
          <w:rFonts w:cs="Verdana"/>
          <w:szCs w:val="18"/>
          <w:lang w:eastAsia="en-US"/>
        </w:rPr>
        <w:t>i</w:t>
      </w:r>
      <w:r w:rsidRPr="00DC7B89">
        <w:rPr>
          <w:rFonts w:cs="Verdana"/>
          <w:szCs w:val="18"/>
          <w:lang w:eastAsia="en-US"/>
        </w:rPr>
        <w:t xml:space="preserve">e kwaliteitsafspraken. </w:t>
      </w:r>
      <w:r w:rsidR="00691AAB" w:rsidRPr="00DC7B89">
        <w:rPr>
          <w:rFonts w:cs="Verdana"/>
          <w:szCs w:val="18"/>
          <w:lang w:eastAsia="en-US"/>
        </w:rPr>
        <w:t>Een k</w:t>
      </w:r>
      <w:r w:rsidR="00B47DFA">
        <w:rPr>
          <w:rFonts w:cs="Verdana"/>
          <w:szCs w:val="18"/>
          <w:lang w:eastAsia="en-US"/>
        </w:rPr>
        <w:t xml:space="preserve">lein deel van de </w:t>
      </w:r>
      <w:r w:rsidRPr="00DC7B89">
        <w:rPr>
          <w:rFonts w:cs="Verdana"/>
          <w:szCs w:val="18"/>
          <w:lang w:eastAsia="en-US"/>
        </w:rPr>
        <w:t xml:space="preserve">middelen is verbonden aan enkele landelijke projecten. </w:t>
      </w:r>
      <w:r w:rsidR="00034939">
        <w:rPr>
          <w:rFonts w:cs="Verdana"/>
          <w:szCs w:val="18"/>
          <w:lang w:eastAsia="en-US"/>
        </w:rPr>
        <w:t>Daarnaast wordt de opbrengst van het studievoorschot vanaf 2021</w:t>
      </w:r>
      <w:r w:rsidR="00691AAB" w:rsidRPr="00DC7B89">
        <w:rPr>
          <w:rFonts w:cs="Verdana"/>
          <w:szCs w:val="18"/>
          <w:lang w:eastAsia="en-US"/>
        </w:rPr>
        <w:t xml:space="preserve"> ingezet voor vouchers.</w:t>
      </w:r>
      <w:r w:rsidR="00B47DFA">
        <w:rPr>
          <w:rFonts w:cs="Verdana"/>
          <w:szCs w:val="18"/>
          <w:lang w:eastAsia="en-US"/>
        </w:rPr>
        <w:t xml:space="preserve"> </w:t>
      </w:r>
      <w:r w:rsidR="00E5611B">
        <w:rPr>
          <w:rFonts w:cs="Verdana"/>
          <w:szCs w:val="18"/>
          <w:lang w:eastAsia="en-US"/>
        </w:rPr>
        <w:t>In bijlage één vindt u de verdeling van de middelen over deze categorieën.</w:t>
      </w:r>
    </w:p>
    <w:p w14:paraId="3B71D128" w14:textId="77777777" w:rsidR="00B47DFA" w:rsidRDefault="00691AAB" w:rsidP="003A320F">
      <w:pPr>
        <w:autoSpaceDE w:val="0"/>
        <w:autoSpaceDN w:val="0"/>
        <w:adjustRightInd w:val="0"/>
        <w:rPr>
          <w:rFonts w:cs="Verdana"/>
          <w:szCs w:val="18"/>
          <w:lang w:eastAsia="en-US"/>
        </w:rPr>
      </w:pPr>
      <w:r w:rsidRPr="00DC7B89">
        <w:rPr>
          <w:rFonts w:cs="Verdana"/>
          <w:szCs w:val="18"/>
          <w:lang w:eastAsia="en-US"/>
        </w:rPr>
        <w:t xml:space="preserve"> </w:t>
      </w:r>
    </w:p>
    <w:p w14:paraId="1871BF4E" w14:textId="77777777" w:rsidR="00863B45" w:rsidRPr="00444986" w:rsidRDefault="00863B45" w:rsidP="00863B45">
      <w:pPr>
        <w:autoSpaceDE w:val="0"/>
        <w:autoSpaceDN w:val="0"/>
        <w:adjustRightInd w:val="0"/>
        <w:rPr>
          <w:rFonts w:cs="Verdana"/>
          <w:b/>
          <w:szCs w:val="18"/>
          <w:u w:val="single"/>
          <w:lang w:eastAsia="en-US"/>
        </w:rPr>
      </w:pPr>
      <w:r w:rsidRPr="00444986">
        <w:rPr>
          <w:rFonts w:cs="Verdana"/>
          <w:b/>
          <w:szCs w:val="18"/>
          <w:u w:val="single"/>
          <w:lang w:eastAsia="en-US"/>
        </w:rPr>
        <w:t>Kwaliteitsafspraken</w:t>
      </w:r>
    </w:p>
    <w:p w14:paraId="5EC4C9A8" w14:textId="77777777" w:rsidR="00863B45" w:rsidRPr="00DC7B89" w:rsidRDefault="00863B45" w:rsidP="00863B45">
      <w:pPr>
        <w:autoSpaceDE w:val="0"/>
        <w:autoSpaceDN w:val="0"/>
        <w:adjustRightInd w:val="0"/>
        <w:rPr>
          <w:rFonts w:cs="Verdana"/>
          <w:szCs w:val="18"/>
          <w:lang w:eastAsia="en-US"/>
        </w:rPr>
      </w:pPr>
      <w:r>
        <w:rPr>
          <w:rFonts w:cs="Verdana"/>
          <w:szCs w:val="18"/>
          <w:lang w:eastAsia="en-US"/>
        </w:rPr>
        <w:t>In 2018 ben ik samen met de Vereniging Hogescholen, VSNU, ISO en LSVb tot het systeem van kwaliteitsafspraken gekomen.</w:t>
      </w:r>
      <w:r w:rsidR="006468C0">
        <w:rPr>
          <w:rStyle w:val="Voetnootmarkering"/>
          <w:rFonts w:cs="Verdana"/>
          <w:szCs w:val="18"/>
          <w:lang w:eastAsia="en-US"/>
        </w:rPr>
        <w:footnoteReference w:id="1"/>
      </w:r>
      <w:r>
        <w:rPr>
          <w:rFonts w:cs="Verdana"/>
          <w:szCs w:val="18"/>
          <w:lang w:eastAsia="en-US"/>
        </w:rPr>
        <w:t xml:space="preserve"> In 2018 zijn </w:t>
      </w:r>
      <w:r w:rsidRPr="00DC7B89">
        <w:rPr>
          <w:rFonts w:cs="Verdana"/>
          <w:szCs w:val="18"/>
          <w:lang w:eastAsia="en-US"/>
        </w:rPr>
        <w:t>de studievoorschotmiddelen beschikbaar gekomen in de lumpsum</w:t>
      </w:r>
      <w:r>
        <w:rPr>
          <w:rFonts w:cs="Verdana"/>
          <w:szCs w:val="18"/>
          <w:lang w:eastAsia="en-US"/>
        </w:rPr>
        <w:t xml:space="preserve">, en is de afspraak gemaakt dat hogescholen en universiteiten de studievoorschotmiddelen </w:t>
      </w:r>
      <w:r w:rsidR="003929D8">
        <w:rPr>
          <w:rFonts w:cs="Verdana"/>
          <w:szCs w:val="18"/>
          <w:lang w:eastAsia="en-US"/>
        </w:rPr>
        <w:t xml:space="preserve">in dat jaar </w:t>
      </w:r>
      <w:r>
        <w:rPr>
          <w:rFonts w:cs="Verdana"/>
          <w:szCs w:val="18"/>
          <w:lang w:eastAsia="en-US"/>
        </w:rPr>
        <w:t>besteden aan de thema’s van de Gemeenschappelijke Agenda. Daarnaast is afgesproken dat studenten instemmingsrecht krijgen op de besteding van de studievoorschotmiddelen als onderdeel van de hoofdlijnen van de begroting, en dat instellingen zich verantwoorden in het jaarverslag. Ook is afgesproken dat zij op sectorniveau rapporteren over de voorgenomen besteding en de realisatie daarvan</w:t>
      </w:r>
      <w:r w:rsidRPr="00DC7B89">
        <w:rPr>
          <w:rFonts w:cs="Verdana"/>
          <w:szCs w:val="18"/>
          <w:lang w:eastAsia="en-US"/>
        </w:rPr>
        <w:t xml:space="preserve">. </w:t>
      </w:r>
      <w:r>
        <w:rPr>
          <w:rFonts w:cs="Verdana"/>
          <w:szCs w:val="18"/>
          <w:lang w:eastAsia="en-US"/>
        </w:rPr>
        <w:t>O</w:t>
      </w:r>
      <w:r w:rsidRPr="00DC7B89">
        <w:rPr>
          <w:rFonts w:cs="Verdana"/>
          <w:szCs w:val="18"/>
          <w:lang w:eastAsia="en-US"/>
        </w:rPr>
        <w:t xml:space="preserve">ver de voorgenomen besteding van de studievoorschotmiddelen in 2018 </w:t>
      </w:r>
      <w:r>
        <w:rPr>
          <w:rFonts w:cs="Verdana"/>
          <w:szCs w:val="18"/>
          <w:lang w:eastAsia="en-US"/>
        </w:rPr>
        <w:t>heb ik u in oktober 2018 geïnformeerd</w:t>
      </w:r>
      <w:r w:rsidRPr="00DC7B89">
        <w:rPr>
          <w:rFonts w:cs="Verdana"/>
          <w:szCs w:val="18"/>
          <w:lang w:eastAsia="en-US"/>
        </w:rPr>
        <w:t>.</w:t>
      </w:r>
      <w:r>
        <w:rPr>
          <w:rStyle w:val="Voetnootmarkering"/>
          <w:rFonts w:cs="Verdana"/>
          <w:szCs w:val="18"/>
          <w:lang w:eastAsia="en-US"/>
        </w:rPr>
        <w:footnoteReference w:id="2"/>
      </w:r>
      <w:r>
        <w:rPr>
          <w:rFonts w:cs="Verdana"/>
          <w:szCs w:val="18"/>
          <w:lang w:eastAsia="en-US"/>
        </w:rPr>
        <w:t xml:space="preserve"> De VSNU heeft inmiddels op haar </w:t>
      </w:r>
      <w:r>
        <w:rPr>
          <w:rFonts w:cs="Verdana"/>
          <w:szCs w:val="18"/>
          <w:lang w:eastAsia="en-US"/>
        </w:rPr>
        <w:lastRenderedPageBreak/>
        <w:t>website een overzicht gegeven van de besteding van die studievoorschotmiddelen</w:t>
      </w:r>
      <w:r w:rsidR="00E46B18">
        <w:rPr>
          <w:rFonts w:cs="Verdana"/>
          <w:szCs w:val="18"/>
          <w:lang w:eastAsia="en-US"/>
        </w:rPr>
        <w:t xml:space="preserve"> in 2018.</w:t>
      </w:r>
      <w:r w:rsidR="00E46B18">
        <w:rPr>
          <w:rStyle w:val="Voetnootmarkering"/>
          <w:rFonts w:cs="Verdana"/>
          <w:szCs w:val="18"/>
          <w:lang w:eastAsia="en-US"/>
        </w:rPr>
        <w:footnoteReference w:id="3"/>
      </w:r>
      <w:r w:rsidR="0003427C">
        <w:rPr>
          <w:rFonts w:cs="Verdana"/>
          <w:szCs w:val="18"/>
          <w:lang w:eastAsia="en-US"/>
        </w:rPr>
        <w:t xml:space="preserve"> </w:t>
      </w:r>
    </w:p>
    <w:p w14:paraId="3E792652" w14:textId="77777777" w:rsidR="00863B45" w:rsidRDefault="00863B45" w:rsidP="00863B45">
      <w:pPr>
        <w:spacing w:after="200"/>
        <w:contextualSpacing/>
        <w:rPr>
          <w:rFonts w:cs="Verdana"/>
          <w:szCs w:val="18"/>
          <w:lang w:eastAsia="en-US"/>
        </w:rPr>
      </w:pPr>
    </w:p>
    <w:p w14:paraId="48BFEE08" w14:textId="77777777" w:rsidR="00863B45" w:rsidRDefault="00863B45" w:rsidP="00863B45">
      <w:pPr>
        <w:spacing w:after="200"/>
        <w:contextualSpacing/>
        <w:rPr>
          <w:rFonts w:cs="Verdana"/>
          <w:szCs w:val="18"/>
          <w:lang w:eastAsia="en-US"/>
        </w:rPr>
      </w:pPr>
      <w:r>
        <w:rPr>
          <w:rFonts w:cs="Verdana"/>
          <w:szCs w:val="18"/>
          <w:lang w:eastAsia="en-US"/>
        </w:rPr>
        <w:t xml:space="preserve">Na het sluiten van het akkoord zijn alle instellingen van start gegaan om samen met de medezeggenschap te komen tot een plan voor de kwaliteitsafspraken. De plannen van de instellingen beslaan de periode van 2019 tot en met 2024. Op dit moment worden de plannen nog volop beoordeeld door de NVAO. Aan de hand van het advies van de NVAO besluit ik of het plan van een instelling voldoende is, en of zij haar studievoorschotmiddelen krijgt toegekend voor de periode 2021 tot en met 2024. </w:t>
      </w:r>
      <w:r w:rsidRPr="00582975">
        <w:rPr>
          <w:rFonts w:cs="Verdana"/>
          <w:szCs w:val="18"/>
          <w:lang w:eastAsia="en-US"/>
        </w:rPr>
        <w:t>A</w:t>
      </w:r>
      <w:r>
        <w:rPr>
          <w:rFonts w:cs="Verdana"/>
          <w:szCs w:val="18"/>
          <w:lang w:eastAsia="en-US"/>
        </w:rPr>
        <w:t>ls dat niet het geval is, volgt een herkansing. De instelling heeft dan tot een jaar na het besluit de tijd om een nieuw plan in te dienen. De toekenning van de middelen geldt vanaf 2021, omdat de NVAO nog plannen beoordeelt in 2019 en 2020. Met de instellingen is daarom afgesproken dat zij in 2019 en 2020 de studievoorschotmiddelen ontvangen in de lumpsum</w:t>
      </w:r>
      <w:r w:rsidR="001331DA">
        <w:rPr>
          <w:rFonts w:cs="Verdana"/>
          <w:szCs w:val="18"/>
          <w:lang w:eastAsia="en-US"/>
        </w:rPr>
        <w:t>.</w:t>
      </w:r>
    </w:p>
    <w:p w14:paraId="061B855F" w14:textId="77777777" w:rsidR="00863B45" w:rsidRPr="00DC7B89" w:rsidRDefault="00863B45" w:rsidP="00863B45">
      <w:pPr>
        <w:spacing w:after="200"/>
        <w:contextualSpacing/>
        <w:rPr>
          <w:rFonts w:cs="Verdana"/>
          <w:szCs w:val="18"/>
          <w:lang w:eastAsia="en-US"/>
        </w:rPr>
      </w:pPr>
    </w:p>
    <w:p w14:paraId="68D84688" w14:textId="77777777" w:rsidR="001331DA" w:rsidRDefault="00863B45" w:rsidP="001331DA">
      <w:pPr>
        <w:autoSpaceDE w:val="0"/>
        <w:autoSpaceDN w:val="0"/>
        <w:adjustRightInd w:val="0"/>
        <w:rPr>
          <w:rFonts w:cs="Verdana"/>
          <w:szCs w:val="18"/>
          <w:lang w:eastAsia="en-US"/>
        </w:rPr>
      </w:pPr>
      <w:r>
        <w:rPr>
          <w:rFonts w:cs="Verdana"/>
          <w:szCs w:val="18"/>
          <w:lang w:eastAsia="en-US"/>
        </w:rPr>
        <w:t>O</w:t>
      </w:r>
      <w:r w:rsidRPr="00DC7B89">
        <w:rPr>
          <w:rFonts w:cs="Verdana"/>
          <w:szCs w:val="18"/>
          <w:lang w:eastAsia="en-US"/>
        </w:rPr>
        <w:t>p dit moment</w:t>
      </w:r>
      <w:r>
        <w:rPr>
          <w:rFonts w:cs="Verdana"/>
          <w:szCs w:val="18"/>
          <w:lang w:eastAsia="en-US"/>
        </w:rPr>
        <w:t xml:space="preserve"> is over </w:t>
      </w:r>
      <w:r w:rsidR="007401F7">
        <w:rPr>
          <w:rFonts w:cs="Verdana"/>
          <w:szCs w:val="18"/>
          <w:lang w:eastAsia="en-US"/>
        </w:rPr>
        <w:t>achttien</w:t>
      </w:r>
      <w:r w:rsidR="000C305D">
        <w:rPr>
          <w:rFonts w:cs="Verdana"/>
          <w:szCs w:val="18"/>
          <w:lang w:eastAsia="en-US"/>
        </w:rPr>
        <w:t xml:space="preserve"> </w:t>
      </w:r>
      <w:r>
        <w:rPr>
          <w:rFonts w:cs="Verdana"/>
          <w:szCs w:val="18"/>
          <w:lang w:eastAsia="en-US"/>
        </w:rPr>
        <w:t xml:space="preserve">van de </w:t>
      </w:r>
      <w:r w:rsidR="007401F7">
        <w:rPr>
          <w:rFonts w:cs="Verdana"/>
          <w:szCs w:val="18"/>
          <w:lang w:eastAsia="en-US"/>
        </w:rPr>
        <w:t>vierenvijftig</w:t>
      </w:r>
      <w:r w:rsidR="000C305D">
        <w:rPr>
          <w:rFonts w:cs="Verdana"/>
          <w:szCs w:val="18"/>
          <w:lang w:eastAsia="en-US"/>
        </w:rPr>
        <w:t xml:space="preserve"> </w:t>
      </w:r>
      <w:r>
        <w:rPr>
          <w:rFonts w:cs="Verdana"/>
          <w:szCs w:val="18"/>
          <w:lang w:eastAsia="en-US"/>
        </w:rPr>
        <w:t xml:space="preserve">instellingen een besluit genomen. </w:t>
      </w:r>
      <w:r w:rsidR="007401F7">
        <w:rPr>
          <w:rFonts w:cs="Verdana"/>
          <w:szCs w:val="18"/>
          <w:lang w:eastAsia="en-US"/>
        </w:rPr>
        <w:t xml:space="preserve">Vijftien instellingen hebben een plan gemaakt dat voldoet aan de criteria, drie hebben een plan dat nog niet geheel voldoet en mogen een nieuw plan indienen. </w:t>
      </w:r>
      <w:r>
        <w:rPr>
          <w:rFonts w:cs="Verdana"/>
          <w:szCs w:val="18"/>
          <w:lang w:eastAsia="en-US"/>
        </w:rPr>
        <w:t>Voor de overige instellingen loopt de beoordeling of besluitvorming nog.</w:t>
      </w:r>
      <w:r w:rsidR="000C305D">
        <w:rPr>
          <w:rFonts w:cs="Verdana"/>
          <w:szCs w:val="18"/>
          <w:lang w:eastAsia="en-US"/>
        </w:rPr>
        <w:t xml:space="preserve"> Daarvan geldt voor </w:t>
      </w:r>
      <w:r w:rsidR="007401F7">
        <w:rPr>
          <w:rFonts w:cs="Verdana"/>
          <w:szCs w:val="18"/>
          <w:lang w:eastAsia="en-US"/>
        </w:rPr>
        <w:t>negenentwintig</w:t>
      </w:r>
      <w:r w:rsidR="000C305D">
        <w:rPr>
          <w:rFonts w:cs="Verdana"/>
          <w:szCs w:val="18"/>
          <w:lang w:eastAsia="en-US"/>
        </w:rPr>
        <w:t xml:space="preserve"> instellingen dat ze nog in de beoordelingsprocedure van de NVAO </w:t>
      </w:r>
      <w:r w:rsidR="007401F7">
        <w:rPr>
          <w:rFonts w:cs="Verdana"/>
          <w:szCs w:val="18"/>
          <w:lang w:eastAsia="en-US"/>
        </w:rPr>
        <w:t>zitten. Voor zeven instellingen geldt dat ik een negatief advies van de NVAO heb ontvangen, en de procedure om tot een besluit te komen nog niet is afgerond.</w:t>
      </w:r>
      <w:r w:rsidR="001331DA">
        <w:rPr>
          <w:rFonts w:cs="Verdana"/>
          <w:szCs w:val="18"/>
          <w:lang w:eastAsia="en-US"/>
        </w:rPr>
        <w:t xml:space="preserve"> </w:t>
      </w:r>
    </w:p>
    <w:p w14:paraId="4C16B203" w14:textId="77777777" w:rsidR="001331DA" w:rsidRDefault="001331DA" w:rsidP="001331DA">
      <w:pPr>
        <w:autoSpaceDE w:val="0"/>
        <w:autoSpaceDN w:val="0"/>
        <w:adjustRightInd w:val="0"/>
        <w:rPr>
          <w:rFonts w:cs="Verdana"/>
          <w:szCs w:val="18"/>
          <w:lang w:eastAsia="en-US"/>
        </w:rPr>
      </w:pPr>
    </w:p>
    <w:p w14:paraId="1DB7F86E" w14:textId="77777777" w:rsidR="001331DA" w:rsidRDefault="001331DA" w:rsidP="001331DA">
      <w:pPr>
        <w:autoSpaceDE w:val="0"/>
        <w:autoSpaceDN w:val="0"/>
        <w:adjustRightInd w:val="0"/>
        <w:rPr>
          <w:rFonts w:cs="Verdana"/>
          <w:szCs w:val="18"/>
          <w:lang w:eastAsia="en-US"/>
        </w:rPr>
      </w:pPr>
      <w:r>
        <w:rPr>
          <w:rFonts w:cs="Verdana"/>
          <w:szCs w:val="18"/>
          <w:lang w:eastAsia="en-US"/>
        </w:rPr>
        <w:t>Uiterlijk in april 2020 zijn alle plannen getoetst. Besluiten worden vanaf heden gepubliceerd op de website van de rijksoverheid</w:t>
      </w:r>
      <w:r w:rsidR="006C717D">
        <w:rPr>
          <w:rFonts w:cs="Verdana"/>
          <w:szCs w:val="18"/>
          <w:lang w:eastAsia="en-US"/>
        </w:rPr>
        <w:t>.</w:t>
      </w:r>
      <w:r w:rsidR="00495084">
        <w:rPr>
          <w:rStyle w:val="Voetnootmarkering"/>
          <w:rFonts w:cs="Verdana"/>
          <w:szCs w:val="18"/>
          <w:lang w:eastAsia="en-US"/>
        </w:rPr>
        <w:footnoteReference w:id="4"/>
      </w:r>
      <w:r w:rsidR="00E46B18">
        <w:rPr>
          <w:rFonts w:cs="Verdana"/>
          <w:szCs w:val="18"/>
          <w:lang w:eastAsia="en-US"/>
        </w:rPr>
        <w:t xml:space="preserve"> De VSNU</w:t>
      </w:r>
      <w:r w:rsidR="00C8138E" w:rsidRPr="00C8138E">
        <w:rPr>
          <w:rFonts w:cs="Verdana"/>
          <w:szCs w:val="18"/>
          <w:lang w:eastAsia="en-US"/>
        </w:rPr>
        <w:t xml:space="preserve"> </w:t>
      </w:r>
      <w:r w:rsidR="00C8138E">
        <w:rPr>
          <w:rFonts w:cs="Verdana"/>
          <w:szCs w:val="18"/>
          <w:lang w:eastAsia="en-US"/>
        </w:rPr>
        <w:t>heeft op haar website links opgenomen naar de plannen van universiteiten die reeds goedgekeurd zijn.</w:t>
      </w:r>
      <w:r w:rsidR="00C8138E">
        <w:rPr>
          <w:rStyle w:val="Voetnootmarkering"/>
          <w:rFonts w:cs="Verdana"/>
          <w:szCs w:val="18"/>
          <w:lang w:eastAsia="en-US"/>
        </w:rPr>
        <w:footnoteReference w:id="5"/>
      </w:r>
      <w:r w:rsidR="00E46B18">
        <w:rPr>
          <w:rFonts w:cs="Verdana"/>
          <w:szCs w:val="18"/>
          <w:lang w:eastAsia="en-US"/>
        </w:rPr>
        <w:t xml:space="preserve"> </w:t>
      </w:r>
      <w:r w:rsidR="00C8138E">
        <w:rPr>
          <w:rFonts w:cs="Verdana"/>
          <w:szCs w:val="18"/>
          <w:lang w:eastAsia="en-US"/>
        </w:rPr>
        <w:t>Ook op de site van de</w:t>
      </w:r>
      <w:r w:rsidR="00852A78">
        <w:rPr>
          <w:rFonts w:cs="Verdana"/>
          <w:szCs w:val="18"/>
          <w:lang w:eastAsia="en-US"/>
        </w:rPr>
        <w:t xml:space="preserve"> Vereniging Hogescholen</w:t>
      </w:r>
      <w:r w:rsidR="00C8138E">
        <w:rPr>
          <w:rFonts w:cs="Verdana"/>
          <w:szCs w:val="18"/>
          <w:lang w:eastAsia="en-US"/>
        </w:rPr>
        <w:t xml:space="preserve"> zullen de plannen binnenkort te vinden zijn</w:t>
      </w:r>
      <w:r w:rsidR="00E46B18">
        <w:rPr>
          <w:rFonts w:cs="Verdana"/>
          <w:szCs w:val="18"/>
          <w:lang w:eastAsia="en-US"/>
        </w:rPr>
        <w:t>.</w:t>
      </w:r>
      <w:r w:rsidR="002E4B19">
        <w:rPr>
          <w:rFonts w:cs="Verdana"/>
          <w:szCs w:val="18"/>
          <w:lang w:eastAsia="en-US"/>
        </w:rPr>
        <w:t xml:space="preserve"> </w:t>
      </w:r>
      <w:r>
        <w:rPr>
          <w:rFonts w:cs="Verdana"/>
          <w:szCs w:val="18"/>
          <w:lang w:eastAsia="en-US"/>
        </w:rPr>
        <w:t xml:space="preserve">In de </w:t>
      </w:r>
      <w:r w:rsidRPr="00DC7B89">
        <w:rPr>
          <w:rFonts w:cs="Verdana"/>
          <w:szCs w:val="18"/>
          <w:lang w:eastAsia="en-US"/>
        </w:rPr>
        <w:t xml:space="preserve">bijlage bij deze brief vindt u een </w:t>
      </w:r>
      <w:r>
        <w:rPr>
          <w:rFonts w:cs="Verdana"/>
          <w:szCs w:val="18"/>
          <w:lang w:eastAsia="en-US"/>
        </w:rPr>
        <w:t xml:space="preserve">schematisch </w:t>
      </w:r>
      <w:r w:rsidRPr="00DC7B89">
        <w:rPr>
          <w:rFonts w:cs="Verdana"/>
          <w:szCs w:val="18"/>
          <w:lang w:eastAsia="en-US"/>
        </w:rPr>
        <w:t xml:space="preserve">overzicht van </w:t>
      </w:r>
      <w:r>
        <w:rPr>
          <w:rFonts w:cs="Verdana"/>
          <w:szCs w:val="18"/>
          <w:lang w:eastAsia="en-US"/>
        </w:rPr>
        <w:t>de stand van zaken, inclusief een lijst met i</w:t>
      </w:r>
      <w:r w:rsidRPr="00DC7B89">
        <w:rPr>
          <w:rFonts w:cs="Verdana"/>
          <w:szCs w:val="18"/>
          <w:lang w:eastAsia="en-US"/>
        </w:rPr>
        <w:t>nstellingen waarover ik reeds besloten heb.</w:t>
      </w:r>
      <w:r>
        <w:rPr>
          <w:rFonts w:cs="Verdana"/>
          <w:szCs w:val="18"/>
          <w:lang w:eastAsia="en-US"/>
        </w:rPr>
        <w:t xml:space="preserve"> </w:t>
      </w:r>
    </w:p>
    <w:p w14:paraId="35C2578C" w14:textId="77777777" w:rsidR="001331DA" w:rsidRDefault="001331DA" w:rsidP="001331DA">
      <w:pPr>
        <w:autoSpaceDE w:val="0"/>
        <w:autoSpaceDN w:val="0"/>
        <w:adjustRightInd w:val="0"/>
        <w:rPr>
          <w:rFonts w:cs="Verdana"/>
          <w:szCs w:val="18"/>
          <w:lang w:eastAsia="en-US"/>
        </w:rPr>
      </w:pPr>
    </w:p>
    <w:p w14:paraId="7BA5698D" w14:textId="77777777" w:rsidR="00863B45" w:rsidRDefault="00B45024" w:rsidP="00863B45">
      <w:pPr>
        <w:autoSpaceDE w:val="0"/>
        <w:autoSpaceDN w:val="0"/>
        <w:adjustRightInd w:val="0"/>
        <w:rPr>
          <w:rFonts w:cs="Verdana"/>
          <w:szCs w:val="18"/>
          <w:lang w:eastAsia="en-US"/>
        </w:rPr>
      </w:pPr>
      <w:r>
        <w:rPr>
          <w:rFonts w:cs="Verdana"/>
          <w:szCs w:val="18"/>
          <w:lang w:eastAsia="en-US"/>
        </w:rPr>
        <w:t xml:space="preserve">Instellingen hebben </w:t>
      </w:r>
      <w:r w:rsidR="00863B45">
        <w:rPr>
          <w:rFonts w:cs="Verdana"/>
          <w:szCs w:val="18"/>
          <w:lang w:eastAsia="en-US"/>
        </w:rPr>
        <w:t>plan</w:t>
      </w:r>
      <w:r>
        <w:rPr>
          <w:rFonts w:cs="Verdana"/>
          <w:szCs w:val="18"/>
          <w:lang w:eastAsia="en-US"/>
        </w:rPr>
        <w:t>nen</w:t>
      </w:r>
      <w:r w:rsidR="00863B45">
        <w:rPr>
          <w:rFonts w:cs="Verdana"/>
          <w:szCs w:val="18"/>
          <w:lang w:eastAsia="en-US"/>
        </w:rPr>
        <w:t xml:space="preserve"> gemaakt d</w:t>
      </w:r>
      <w:r>
        <w:rPr>
          <w:rFonts w:cs="Verdana"/>
          <w:szCs w:val="18"/>
          <w:lang w:eastAsia="en-US"/>
        </w:rPr>
        <w:t>ie</w:t>
      </w:r>
      <w:r w:rsidR="00863B45">
        <w:rPr>
          <w:rFonts w:cs="Verdana"/>
          <w:szCs w:val="18"/>
          <w:lang w:eastAsia="en-US"/>
        </w:rPr>
        <w:t xml:space="preserve"> bijdra</w:t>
      </w:r>
      <w:r>
        <w:rPr>
          <w:rFonts w:cs="Verdana"/>
          <w:szCs w:val="18"/>
          <w:lang w:eastAsia="en-US"/>
        </w:rPr>
        <w:t>gen</w:t>
      </w:r>
      <w:r w:rsidR="00863B45">
        <w:rPr>
          <w:rFonts w:cs="Verdana"/>
          <w:szCs w:val="18"/>
          <w:lang w:eastAsia="en-US"/>
        </w:rPr>
        <w:t xml:space="preserve"> aan de onderwijskwaliteit, </w:t>
      </w:r>
      <w:r>
        <w:rPr>
          <w:rFonts w:cs="Verdana"/>
          <w:szCs w:val="18"/>
          <w:lang w:eastAsia="en-US"/>
        </w:rPr>
        <w:t xml:space="preserve">waarbij </w:t>
      </w:r>
      <w:r w:rsidR="00863B45">
        <w:rPr>
          <w:rFonts w:cs="Verdana"/>
          <w:szCs w:val="18"/>
          <w:lang w:eastAsia="en-US"/>
        </w:rPr>
        <w:t xml:space="preserve">interne belanghebbenden voldoende </w:t>
      </w:r>
      <w:r>
        <w:rPr>
          <w:rFonts w:cs="Verdana"/>
          <w:szCs w:val="18"/>
          <w:lang w:eastAsia="en-US"/>
        </w:rPr>
        <w:t xml:space="preserve">zijn </w:t>
      </w:r>
      <w:r w:rsidR="00863B45">
        <w:rPr>
          <w:rFonts w:cs="Verdana"/>
          <w:szCs w:val="18"/>
          <w:lang w:eastAsia="en-US"/>
        </w:rPr>
        <w:t xml:space="preserve">betrokken, en de medezeggenschap instemming verleend </w:t>
      </w:r>
      <w:r>
        <w:rPr>
          <w:rFonts w:cs="Verdana"/>
          <w:szCs w:val="18"/>
          <w:lang w:eastAsia="en-US"/>
        </w:rPr>
        <w:t xml:space="preserve">heeft </w:t>
      </w:r>
      <w:r w:rsidR="00863B45">
        <w:rPr>
          <w:rFonts w:cs="Verdana"/>
          <w:szCs w:val="18"/>
          <w:lang w:eastAsia="en-US"/>
        </w:rPr>
        <w:t xml:space="preserve">op het plan. </w:t>
      </w:r>
      <w:r w:rsidR="00DB5607">
        <w:rPr>
          <w:rFonts w:cs="Verdana"/>
          <w:szCs w:val="18"/>
          <w:lang w:eastAsia="en-US"/>
        </w:rPr>
        <w:t>Instellingen verschillen in de keuze of het plan op centraal of decentraal niveau is uitgewerkt, met aparte plannen per faculteit</w:t>
      </w:r>
      <w:r w:rsidR="00246737">
        <w:rPr>
          <w:rFonts w:cs="Verdana"/>
          <w:szCs w:val="18"/>
          <w:lang w:eastAsia="en-US"/>
        </w:rPr>
        <w:t>, of een combinatie daarvan</w:t>
      </w:r>
      <w:r w:rsidR="00DB5607">
        <w:rPr>
          <w:rFonts w:cs="Verdana"/>
          <w:szCs w:val="18"/>
          <w:lang w:eastAsia="en-US"/>
        </w:rPr>
        <w:t xml:space="preserve">. </w:t>
      </w:r>
      <w:r w:rsidR="00E11FDF">
        <w:rPr>
          <w:rFonts w:cs="Verdana"/>
          <w:szCs w:val="18"/>
          <w:lang w:eastAsia="en-US"/>
        </w:rPr>
        <w:t xml:space="preserve">Ook </w:t>
      </w:r>
      <w:r w:rsidR="00DB5607">
        <w:rPr>
          <w:rFonts w:cs="Verdana"/>
          <w:szCs w:val="18"/>
          <w:lang w:eastAsia="en-US"/>
        </w:rPr>
        <w:t>d</w:t>
      </w:r>
      <w:r w:rsidR="00863B45">
        <w:rPr>
          <w:rFonts w:cs="Verdana"/>
          <w:szCs w:val="18"/>
          <w:lang w:eastAsia="en-US"/>
        </w:rPr>
        <w:t xml:space="preserve">e mate waarin de voornemens concreet en meerjarig zijn uitgewerkt, verschilt. </w:t>
      </w:r>
      <w:r w:rsidR="00EA56AD" w:rsidRPr="00BC1BB2">
        <w:rPr>
          <w:rFonts w:cs="Verdana"/>
          <w:szCs w:val="18"/>
          <w:lang w:eastAsia="en-US"/>
        </w:rPr>
        <w:t xml:space="preserve">Wanneer plannen onvoldoende uitgewerkt zijn, is </w:t>
      </w:r>
      <w:r w:rsidR="003929D8">
        <w:rPr>
          <w:rFonts w:cs="Verdana"/>
          <w:szCs w:val="18"/>
          <w:lang w:eastAsia="en-US"/>
        </w:rPr>
        <w:t>het moeilijk om te bepalen</w:t>
      </w:r>
      <w:r w:rsidR="00EA56AD" w:rsidRPr="00BC1BB2">
        <w:rPr>
          <w:rFonts w:cs="Verdana"/>
          <w:szCs w:val="18"/>
          <w:lang w:eastAsia="en-US"/>
        </w:rPr>
        <w:t xml:space="preserve"> </w:t>
      </w:r>
      <w:r w:rsidR="00863B45" w:rsidRPr="00BC1BB2">
        <w:rPr>
          <w:rFonts w:cs="Verdana"/>
          <w:szCs w:val="18"/>
          <w:lang w:eastAsia="en-US"/>
        </w:rPr>
        <w:t xml:space="preserve">of het plan realistisch is, en </w:t>
      </w:r>
      <w:r w:rsidR="00EA56AD" w:rsidRPr="00BC1BB2">
        <w:rPr>
          <w:rFonts w:cs="Verdana"/>
          <w:szCs w:val="18"/>
          <w:lang w:eastAsia="en-US"/>
        </w:rPr>
        <w:t>kan ook later moeilijk beoordeeld worden of het plan gerealiseerd is</w:t>
      </w:r>
      <w:r w:rsidR="00863B45" w:rsidRPr="00BC1BB2">
        <w:rPr>
          <w:rFonts w:cs="Verdana"/>
          <w:szCs w:val="18"/>
          <w:lang w:eastAsia="en-US"/>
        </w:rPr>
        <w:t>. Instellingen die een herkansing krijgen, zullen zich vooral op dit punt moeten verbeteren.</w:t>
      </w:r>
    </w:p>
    <w:p w14:paraId="13CF424F" w14:textId="77777777" w:rsidR="00863B45" w:rsidRDefault="00863B45" w:rsidP="00863B45">
      <w:pPr>
        <w:autoSpaceDE w:val="0"/>
        <w:autoSpaceDN w:val="0"/>
        <w:adjustRightInd w:val="0"/>
        <w:rPr>
          <w:rFonts w:cs="Verdana"/>
          <w:szCs w:val="18"/>
          <w:lang w:eastAsia="en-US"/>
        </w:rPr>
      </w:pPr>
    </w:p>
    <w:p w14:paraId="112F7C63" w14:textId="77777777" w:rsidR="00863B45" w:rsidRPr="00DC7B89" w:rsidRDefault="00863B45" w:rsidP="00372D19">
      <w:pPr>
        <w:contextualSpacing/>
        <w:rPr>
          <w:szCs w:val="18"/>
        </w:rPr>
      </w:pPr>
      <w:r>
        <w:rPr>
          <w:szCs w:val="18"/>
        </w:rPr>
        <w:t>Uit de plannen tot nu toe blijkt dat hogescholen en universiteiten allemaal op meerdere thema’s voornemens en doelen hebben geformuleerd. De thema’s zijn:</w:t>
      </w:r>
    </w:p>
    <w:p w14:paraId="65C39178" w14:textId="77777777" w:rsidR="00863B45" w:rsidRPr="00DC7B89" w:rsidRDefault="00863B45" w:rsidP="00372D19">
      <w:pPr>
        <w:pStyle w:val="Lijstalinea"/>
        <w:numPr>
          <w:ilvl w:val="0"/>
          <w:numId w:val="5"/>
        </w:numPr>
        <w:spacing w:line="240" w:lineRule="atLeast"/>
        <w:contextualSpacing/>
        <w:rPr>
          <w:rFonts w:ascii="Verdana" w:hAnsi="Verdana"/>
          <w:sz w:val="18"/>
          <w:szCs w:val="18"/>
        </w:rPr>
      </w:pPr>
      <w:r w:rsidRPr="00DC7B89">
        <w:rPr>
          <w:rFonts w:ascii="Verdana" w:hAnsi="Verdana"/>
          <w:sz w:val="18"/>
          <w:szCs w:val="18"/>
        </w:rPr>
        <w:t>Onderwijsintensiteit</w:t>
      </w:r>
    </w:p>
    <w:p w14:paraId="1AB08894" w14:textId="77777777" w:rsidR="00863B45" w:rsidRPr="00DC7B89" w:rsidRDefault="00863B45" w:rsidP="00863B45">
      <w:pPr>
        <w:pStyle w:val="Lijstalinea"/>
        <w:numPr>
          <w:ilvl w:val="0"/>
          <w:numId w:val="5"/>
        </w:numPr>
        <w:spacing w:after="200" w:line="240" w:lineRule="atLeast"/>
        <w:contextualSpacing/>
        <w:rPr>
          <w:rFonts w:ascii="Verdana" w:hAnsi="Verdana"/>
          <w:sz w:val="18"/>
          <w:szCs w:val="18"/>
        </w:rPr>
      </w:pPr>
      <w:r w:rsidRPr="00DC7B89">
        <w:rPr>
          <w:rFonts w:ascii="Verdana" w:hAnsi="Verdana"/>
          <w:sz w:val="18"/>
          <w:szCs w:val="18"/>
        </w:rPr>
        <w:t>Onderwijsdifferentiatie incl. talentprogramma’s</w:t>
      </w:r>
    </w:p>
    <w:p w14:paraId="01746365" w14:textId="77777777" w:rsidR="00863B45" w:rsidRPr="00DC7B89" w:rsidRDefault="00863B45" w:rsidP="00863B45">
      <w:pPr>
        <w:pStyle w:val="Lijstalinea"/>
        <w:numPr>
          <w:ilvl w:val="0"/>
          <w:numId w:val="5"/>
        </w:numPr>
        <w:spacing w:after="200" w:line="240" w:lineRule="atLeast"/>
        <w:contextualSpacing/>
        <w:rPr>
          <w:rFonts w:ascii="Verdana" w:hAnsi="Verdana"/>
          <w:sz w:val="18"/>
          <w:szCs w:val="18"/>
        </w:rPr>
      </w:pPr>
      <w:r w:rsidRPr="00DC7B89">
        <w:rPr>
          <w:rFonts w:ascii="Verdana" w:hAnsi="Verdana"/>
          <w:sz w:val="18"/>
          <w:szCs w:val="18"/>
        </w:rPr>
        <w:t>Docentkwaliteit (professionalisering)</w:t>
      </w:r>
    </w:p>
    <w:p w14:paraId="6915D40F" w14:textId="77777777" w:rsidR="00863B45" w:rsidRPr="00DC7B89" w:rsidRDefault="00863B45" w:rsidP="00863B45">
      <w:pPr>
        <w:pStyle w:val="Lijstalinea"/>
        <w:numPr>
          <w:ilvl w:val="0"/>
          <w:numId w:val="5"/>
        </w:numPr>
        <w:spacing w:after="200" w:line="240" w:lineRule="atLeast"/>
        <w:contextualSpacing/>
        <w:rPr>
          <w:rFonts w:ascii="Verdana" w:hAnsi="Verdana"/>
          <w:sz w:val="18"/>
          <w:szCs w:val="18"/>
        </w:rPr>
      </w:pPr>
      <w:r w:rsidRPr="00DC7B89">
        <w:rPr>
          <w:rFonts w:ascii="Verdana" w:hAnsi="Verdana"/>
          <w:sz w:val="18"/>
          <w:szCs w:val="18"/>
        </w:rPr>
        <w:t>Onderwijsfaciliteiten</w:t>
      </w:r>
    </w:p>
    <w:p w14:paraId="05753066" w14:textId="77777777" w:rsidR="00863B45" w:rsidRPr="00DC7B89" w:rsidRDefault="00863B45" w:rsidP="00863B45">
      <w:pPr>
        <w:pStyle w:val="Lijstalinea"/>
        <w:numPr>
          <w:ilvl w:val="0"/>
          <w:numId w:val="5"/>
        </w:numPr>
        <w:spacing w:after="200" w:line="240" w:lineRule="atLeast"/>
        <w:contextualSpacing/>
        <w:rPr>
          <w:rFonts w:ascii="Verdana" w:hAnsi="Verdana"/>
          <w:sz w:val="18"/>
          <w:szCs w:val="18"/>
        </w:rPr>
      </w:pPr>
      <w:r w:rsidRPr="00DC7B89">
        <w:rPr>
          <w:rFonts w:ascii="Verdana" w:hAnsi="Verdana"/>
          <w:sz w:val="18"/>
          <w:szCs w:val="18"/>
        </w:rPr>
        <w:lastRenderedPageBreak/>
        <w:t>Begeleiding van studenten</w:t>
      </w:r>
    </w:p>
    <w:p w14:paraId="7BCE7C0A" w14:textId="77777777" w:rsidR="00863B45" w:rsidRPr="00DC7B89" w:rsidRDefault="00863B45" w:rsidP="00863B45">
      <w:pPr>
        <w:pStyle w:val="Lijstalinea"/>
        <w:numPr>
          <w:ilvl w:val="0"/>
          <w:numId w:val="5"/>
        </w:numPr>
        <w:spacing w:after="200" w:line="240" w:lineRule="atLeast"/>
        <w:contextualSpacing/>
        <w:rPr>
          <w:rFonts w:ascii="Verdana" w:hAnsi="Verdana"/>
          <w:sz w:val="18"/>
          <w:szCs w:val="18"/>
        </w:rPr>
      </w:pPr>
      <w:r w:rsidRPr="00DC7B89">
        <w:rPr>
          <w:rFonts w:ascii="Verdana" w:hAnsi="Verdana"/>
          <w:sz w:val="18"/>
          <w:szCs w:val="18"/>
        </w:rPr>
        <w:t>Studiesucces incl. doorstroom, toegankelijkheid en gelijke kansen</w:t>
      </w:r>
    </w:p>
    <w:p w14:paraId="3B79744F" w14:textId="77777777" w:rsidR="00863B45" w:rsidRDefault="00E46B18" w:rsidP="00E46B18">
      <w:pPr>
        <w:spacing w:line="240" w:lineRule="auto"/>
      </w:pPr>
      <w:r>
        <w:t>In</w:t>
      </w:r>
      <w:r w:rsidR="00863B45">
        <w:t xml:space="preserve"> de plannen van instellingen </w:t>
      </w:r>
      <w:r w:rsidR="001331DA">
        <w:t>komt duidelijk terug</w:t>
      </w:r>
      <w:r w:rsidR="00863B45">
        <w:t xml:space="preserve"> dat de student centraal staat, in vrijwel alle plannen wordt ingezet op studentbegeleiding omwille van studentenwelzijn en studentsucces. </w:t>
      </w:r>
      <w:r w:rsidR="00B45447">
        <w:t xml:space="preserve">Dat gebeurt bijvoorbeeld door het inzetten van tutoren, inzet van studentpsychologen, maar ook door een betere voorbereiding op de arbeidsmarkt. </w:t>
      </w:r>
      <w:r w:rsidR="00863B45">
        <w:t>Ook wordt veel ingezet op intensiever onderwijs en verbetering van de onderwijsfaciliteiten. Er worden meer docenten aangenomen, er is aandacht voor professionalisering van docenten, er wordt geïnvesteerd in digitale leeromgevingen, studieplekken en ontmoetingsruimtes. In het kader van onderwijsdifferentiatie zetten hogescholen en universiteiten in op talent</w:t>
      </w:r>
      <w:r w:rsidR="00B22B08">
        <w:t>programma’s</w:t>
      </w:r>
      <w:r w:rsidR="00863B45">
        <w:t xml:space="preserve">, de aansluiting en voorbereiding op de arbeidsmarkt, verschillende (flexibele) leerroutes, het ontwikkelen van </w:t>
      </w:r>
      <w:proofErr w:type="spellStart"/>
      <w:r w:rsidR="00863B45">
        <w:t>associate</w:t>
      </w:r>
      <w:proofErr w:type="spellEnd"/>
      <w:r w:rsidR="00863B45">
        <w:t xml:space="preserve"> </w:t>
      </w:r>
      <w:proofErr w:type="spellStart"/>
      <w:r w:rsidR="00863B45">
        <w:t>degree</w:t>
      </w:r>
      <w:proofErr w:type="spellEnd"/>
      <w:r w:rsidR="00863B45">
        <w:t>- en masteropleidingen.</w:t>
      </w:r>
    </w:p>
    <w:p w14:paraId="3D6FCB19" w14:textId="77777777" w:rsidR="00863B45" w:rsidRDefault="00863B45" w:rsidP="00863B45">
      <w:pPr>
        <w:rPr>
          <w:szCs w:val="18"/>
        </w:rPr>
      </w:pPr>
    </w:p>
    <w:p w14:paraId="04CF541B" w14:textId="77777777" w:rsidR="001331DA" w:rsidRPr="00A86F68" w:rsidRDefault="001331DA" w:rsidP="001331DA">
      <w:pPr>
        <w:autoSpaceDE w:val="0"/>
        <w:autoSpaceDN w:val="0"/>
        <w:adjustRightInd w:val="0"/>
        <w:rPr>
          <w:rFonts w:cs="Verdana"/>
          <w:szCs w:val="18"/>
          <w:lang w:eastAsia="en-US"/>
        </w:rPr>
      </w:pPr>
      <w:r w:rsidRPr="00A86F68">
        <w:rPr>
          <w:rFonts w:cs="Verdana"/>
          <w:szCs w:val="18"/>
          <w:lang w:eastAsia="en-US"/>
        </w:rPr>
        <w:t xml:space="preserve">Uit deze stand van zaken blijkt dat er nog instellingen </w:t>
      </w:r>
      <w:r w:rsidR="00D66E09">
        <w:rPr>
          <w:rFonts w:cs="Verdana"/>
          <w:szCs w:val="18"/>
          <w:lang w:eastAsia="en-US"/>
        </w:rPr>
        <w:t>zijn</w:t>
      </w:r>
      <w:r w:rsidR="00D66E09" w:rsidRPr="00A86F68">
        <w:rPr>
          <w:rFonts w:cs="Verdana"/>
          <w:szCs w:val="18"/>
          <w:lang w:eastAsia="en-US"/>
        </w:rPr>
        <w:t xml:space="preserve"> </w:t>
      </w:r>
      <w:r w:rsidRPr="00A86F68">
        <w:rPr>
          <w:rFonts w:cs="Verdana"/>
          <w:szCs w:val="18"/>
          <w:lang w:eastAsia="en-US"/>
        </w:rPr>
        <w:t>waarbij het plan voor de kwaliteitsafspraken nog niet voldoende is uitgewerkt. Zij krijgen de mogelijkheid om een nieuw plan in te dienen. Zij zullen de verbeterpunten die hen zijn aangereikt</w:t>
      </w:r>
      <w:r w:rsidR="002663A5" w:rsidRPr="00A86F68">
        <w:rPr>
          <w:rFonts w:cs="Verdana"/>
          <w:szCs w:val="18"/>
          <w:lang w:eastAsia="en-US"/>
        </w:rPr>
        <w:t xml:space="preserve"> moeten gaan uitwerken</w:t>
      </w:r>
      <w:r w:rsidRPr="00A86F68">
        <w:rPr>
          <w:rFonts w:cs="Verdana"/>
          <w:szCs w:val="18"/>
          <w:lang w:eastAsia="en-US"/>
        </w:rPr>
        <w:t>.</w:t>
      </w:r>
      <w:r w:rsidR="00DD7265" w:rsidRPr="00A86F68">
        <w:rPr>
          <w:rFonts w:cs="Verdana"/>
          <w:szCs w:val="18"/>
          <w:lang w:eastAsia="en-US"/>
        </w:rPr>
        <w:t xml:space="preserve"> </w:t>
      </w:r>
      <w:r w:rsidR="00C63BBA" w:rsidRPr="00A86F68">
        <w:rPr>
          <w:rFonts w:cs="Verdana"/>
          <w:szCs w:val="18"/>
          <w:lang w:eastAsia="en-US"/>
        </w:rPr>
        <w:t xml:space="preserve">Voordat ik mijn besluit neem, </w:t>
      </w:r>
      <w:r w:rsidRPr="00A86F68">
        <w:rPr>
          <w:rFonts w:cs="Verdana"/>
          <w:szCs w:val="18"/>
          <w:lang w:eastAsia="en-US"/>
        </w:rPr>
        <w:t>krijgen instellingen waarover ik een negatief advies heb ontvangen, de mogelijkheid om met mij een gesprek te voeren. Instellingen laten in die gesprekken zien de verbeterpunten voortvarend te willen oppakken.</w:t>
      </w:r>
    </w:p>
    <w:p w14:paraId="20DA3101" w14:textId="77777777" w:rsidR="00245A4B" w:rsidRPr="00A86F68" w:rsidRDefault="00245A4B" w:rsidP="001331DA">
      <w:pPr>
        <w:autoSpaceDE w:val="0"/>
        <w:autoSpaceDN w:val="0"/>
        <w:adjustRightInd w:val="0"/>
        <w:rPr>
          <w:rFonts w:cs="Verdana"/>
          <w:szCs w:val="18"/>
          <w:lang w:eastAsia="en-US"/>
        </w:rPr>
      </w:pPr>
    </w:p>
    <w:p w14:paraId="6D96B8BF" w14:textId="77777777" w:rsidR="00245A4B" w:rsidRDefault="00245A4B" w:rsidP="001331DA">
      <w:pPr>
        <w:autoSpaceDE w:val="0"/>
        <w:autoSpaceDN w:val="0"/>
        <w:adjustRightInd w:val="0"/>
        <w:rPr>
          <w:rFonts w:cs="Verdana"/>
          <w:szCs w:val="18"/>
          <w:lang w:eastAsia="en-US"/>
        </w:rPr>
      </w:pPr>
      <w:r w:rsidRPr="00A86F68">
        <w:rPr>
          <w:rFonts w:cs="Verdana"/>
          <w:szCs w:val="18"/>
          <w:lang w:eastAsia="en-US"/>
        </w:rPr>
        <w:t xml:space="preserve">De NVAO heeft bovendien alle instellingen bij brief geïnformeerd over de procedure van en aandachtspunten bij de herstelbeoordeling. </w:t>
      </w:r>
      <w:r w:rsidR="00E5611B" w:rsidRPr="00A86F68">
        <w:rPr>
          <w:rFonts w:cs="Verdana"/>
          <w:szCs w:val="18"/>
          <w:lang w:eastAsia="en-US"/>
        </w:rPr>
        <w:t>Tevens zullen er informatiebijeenkomsten plaatsvind</w:t>
      </w:r>
      <w:r w:rsidR="00E5611B">
        <w:rPr>
          <w:rFonts w:cs="Verdana"/>
          <w:szCs w:val="18"/>
          <w:lang w:eastAsia="en-US"/>
        </w:rPr>
        <w:t>en over de herstelbeoordeling.</w:t>
      </w:r>
    </w:p>
    <w:p w14:paraId="4A3A58DE" w14:textId="77777777" w:rsidR="00245A4B" w:rsidRDefault="00245A4B" w:rsidP="001331DA">
      <w:pPr>
        <w:autoSpaceDE w:val="0"/>
        <w:autoSpaceDN w:val="0"/>
        <w:adjustRightInd w:val="0"/>
        <w:rPr>
          <w:rFonts w:cs="Verdana"/>
          <w:szCs w:val="18"/>
          <w:lang w:eastAsia="en-US"/>
        </w:rPr>
      </w:pPr>
    </w:p>
    <w:p w14:paraId="3B7022A0" w14:textId="77777777" w:rsidR="00372D19" w:rsidRDefault="00863B45" w:rsidP="00372D19">
      <w:pPr>
        <w:autoSpaceDE w:val="0"/>
        <w:autoSpaceDN w:val="0"/>
        <w:adjustRightInd w:val="0"/>
        <w:rPr>
          <w:rFonts w:cs="Verdana"/>
          <w:szCs w:val="18"/>
          <w:lang w:eastAsia="en-US"/>
        </w:rPr>
      </w:pPr>
      <w:r>
        <w:rPr>
          <w:szCs w:val="18"/>
        </w:rPr>
        <w:t xml:space="preserve">Met dit eerste beeld van de kwaliteitsafspraken en de constructieve houding van instellingen die een herkansing krijgen, heb ik er vertrouwen in dat er goede plannen gemaakt worden, die concreet zullen bijdragen aan de kwaliteit van het onderwijs. </w:t>
      </w:r>
    </w:p>
    <w:p w14:paraId="57ED3621" w14:textId="77777777" w:rsidR="00372D19" w:rsidRDefault="00372D19" w:rsidP="005676D7">
      <w:pPr>
        <w:rPr>
          <w:szCs w:val="18"/>
        </w:rPr>
      </w:pPr>
    </w:p>
    <w:p w14:paraId="4242804E" w14:textId="77777777" w:rsidR="00246737" w:rsidRDefault="00863B45" w:rsidP="005676D7">
      <w:pPr>
        <w:rPr>
          <w:szCs w:val="18"/>
        </w:rPr>
      </w:pPr>
      <w:r>
        <w:rPr>
          <w:szCs w:val="18"/>
        </w:rPr>
        <w:t xml:space="preserve">Wanneer alle plannen van instellingen zijn beoordeeld, zal de NVAO eind 2020 een landelijk beeld opmaken, die ik ook aan uw Kamer zal doen toekomen. </w:t>
      </w:r>
    </w:p>
    <w:p w14:paraId="0C4114E5" w14:textId="77777777" w:rsidR="00372D19" w:rsidRDefault="005676D7" w:rsidP="005676D7">
      <w:r>
        <w:t xml:space="preserve">In 2022 zal de NVAO de voortgang van de uitvoering van de plannen beoordelen. </w:t>
      </w:r>
    </w:p>
    <w:p w14:paraId="37CB3F87" w14:textId="77777777" w:rsidR="00372D19" w:rsidRDefault="00372D19" w:rsidP="005676D7"/>
    <w:p w14:paraId="0B50E993" w14:textId="77777777" w:rsidR="005676D7" w:rsidRDefault="005676D7" w:rsidP="005676D7">
      <w:pPr>
        <w:rPr>
          <w:sz w:val="20"/>
          <w:szCs w:val="20"/>
        </w:rPr>
      </w:pPr>
      <w:r>
        <w:t xml:space="preserve">Instellingen zullen zich de komende jaren over de voortgang </w:t>
      </w:r>
      <w:r w:rsidR="0083095E">
        <w:t xml:space="preserve">van de plannen </w:t>
      </w:r>
      <w:r>
        <w:t>verantwoorden in hun jaarverslag. Daarbij krijgt ook de medezeggenschap de gelegenheid om te rapporteren over de voortgang.</w:t>
      </w:r>
      <w:r w:rsidR="00246737">
        <w:t xml:space="preserve"> </w:t>
      </w:r>
    </w:p>
    <w:p w14:paraId="3A1D637A" w14:textId="77777777" w:rsidR="00863B45" w:rsidRDefault="00863B45" w:rsidP="003A320F">
      <w:pPr>
        <w:autoSpaceDE w:val="0"/>
        <w:autoSpaceDN w:val="0"/>
        <w:adjustRightInd w:val="0"/>
        <w:rPr>
          <w:rFonts w:cs="Verdana"/>
          <w:szCs w:val="18"/>
          <w:lang w:eastAsia="en-US"/>
        </w:rPr>
      </w:pPr>
    </w:p>
    <w:p w14:paraId="147E0635" w14:textId="77777777" w:rsidR="00246737" w:rsidRPr="00444986" w:rsidRDefault="00246737" w:rsidP="003A320F">
      <w:pPr>
        <w:autoSpaceDE w:val="0"/>
        <w:autoSpaceDN w:val="0"/>
        <w:adjustRightInd w:val="0"/>
        <w:rPr>
          <w:rFonts w:cs="Verdana"/>
          <w:b/>
          <w:szCs w:val="18"/>
          <w:lang w:eastAsia="en-US"/>
        </w:rPr>
      </w:pPr>
      <w:r>
        <w:rPr>
          <w:rFonts w:cs="Verdana"/>
          <w:b/>
          <w:szCs w:val="18"/>
          <w:lang w:eastAsia="en-US"/>
        </w:rPr>
        <w:t>Inzet overige studievoorschotmiddelen</w:t>
      </w:r>
    </w:p>
    <w:p w14:paraId="41C0CC49" w14:textId="77777777" w:rsidR="00246737" w:rsidRDefault="00246737" w:rsidP="00863B45">
      <w:pPr>
        <w:rPr>
          <w:szCs w:val="18"/>
          <w:u w:val="single"/>
        </w:rPr>
      </w:pPr>
    </w:p>
    <w:p w14:paraId="1C69ECBB" w14:textId="77777777" w:rsidR="00863B45" w:rsidRPr="00034939" w:rsidRDefault="00863B45" w:rsidP="00863B45">
      <w:pPr>
        <w:rPr>
          <w:szCs w:val="18"/>
          <w:u w:val="single"/>
        </w:rPr>
      </w:pPr>
      <w:r w:rsidRPr="00034939">
        <w:rPr>
          <w:szCs w:val="18"/>
          <w:u w:val="single"/>
        </w:rPr>
        <w:t>Vouchers</w:t>
      </w:r>
    </w:p>
    <w:p w14:paraId="26AB7E1A" w14:textId="77777777" w:rsidR="008424DA" w:rsidRDefault="00863B45" w:rsidP="00863B45">
      <w:pPr>
        <w:autoSpaceDE w:val="0"/>
        <w:autoSpaceDN w:val="0"/>
        <w:adjustRightInd w:val="0"/>
        <w:rPr>
          <w:szCs w:val="18"/>
        </w:rPr>
      </w:pPr>
      <w:r w:rsidRPr="00A34E7E">
        <w:rPr>
          <w:szCs w:val="18"/>
        </w:rPr>
        <w:t>Voor de eerste vier cohorten studenten onder het nieuwe stelsel, geldt dat zij nog niet volledig hebben kunnen profiteren van de kwaliteitsinvesteringen. Daarom is destijds besloten om deze studenten bij afstuderen een studievoucher te geven van ongeveer €</w:t>
      </w:r>
      <w:r>
        <w:rPr>
          <w:szCs w:val="18"/>
        </w:rPr>
        <w:t xml:space="preserve"> </w:t>
      </w:r>
      <w:r w:rsidRPr="00A34E7E">
        <w:rPr>
          <w:szCs w:val="18"/>
        </w:rPr>
        <w:t xml:space="preserve">2000 die zij </w:t>
      </w:r>
      <w:r>
        <w:rPr>
          <w:szCs w:val="18"/>
        </w:rPr>
        <w:t>vijf tot tien</w:t>
      </w:r>
      <w:r w:rsidRPr="00A34E7E">
        <w:rPr>
          <w:szCs w:val="18"/>
        </w:rPr>
        <w:t xml:space="preserve"> jaar na afstuderen in kunnen zetten voor geaccrediteerde opleidingen of delen daarvan. Hiermee kunnen zij nogmaals gebruik maken van het kwalitatief verbeterde onderwijs en hopen we een stimu</w:t>
      </w:r>
      <w:r>
        <w:rPr>
          <w:szCs w:val="18"/>
        </w:rPr>
        <w:t xml:space="preserve">lans te geven aan leven lang ontwikkelen (LLO) </w:t>
      </w:r>
      <w:r w:rsidRPr="00A34E7E">
        <w:rPr>
          <w:szCs w:val="18"/>
        </w:rPr>
        <w:t xml:space="preserve">en het deeltijdonderwijs. </w:t>
      </w:r>
    </w:p>
    <w:p w14:paraId="1C117FD1" w14:textId="77777777" w:rsidR="00863B45" w:rsidRPr="00DC7B89" w:rsidRDefault="00863B45" w:rsidP="00863B45">
      <w:pPr>
        <w:autoSpaceDE w:val="0"/>
        <w:autoSpaceDN w:val="0"/>
        <w:adjustRightInd w:val="0"/>
        <w:rPr>
          <w:rFonts w:cs="Verdana"/>
          <w:szCs w:val="18"/>
          <w:lang w:eastAsia="en-US"/>
        </w:rPr>
      </w:pPr>
    </w:p>
    <w:p w14:paraId="66613CA1" w14:textId="77777777" w:rsidR="00495084" w:rsidRDefault="00495084">
      <w:pPr>
        <w:spacing w:line="240" w:lineRule="auto"/>
        <w:rPr>
          <w:szCs w:val="18"/>
          <w:u w:val="single"/>
        </w:rPr>
      </w:pPr>
      <w:r>
        <w:rPr>
          <w:szCs w:val="18"/>
          <w:u w:val="single"/>
        </w:rPr>
        <w:br w:type="page"/>
      </w:r>
    </w:p>
    <w:p w14:paraId="3B5FE62C" w14:textId="77777777" w:rsidR="00E43A91" w:rsidRDefault="00927958" w:rsidP="00245A4B">
      <w:pPr>
        <w:spacing w:line="240" w:lineRule="auto"/>
        <w:rPr>
          <w:szCs w:val="18"/>
          <w:u w:val="single"/>
        </w:rPr>
      </w:pPr>
      <w:r>
        <w:rPr>
          <w:szCs w:val="18"/>
          <w:u w:val="single"/>
        </w:rPr>
        <w:lastRenderedPageBreak/>
        <w:t>Landelijke projecten</w:t>
      </w:r>
    </w:p>
    <w:p w14:paraId="690DFF39" w14:textId="77777777" w:rsidR="00927958" w:rsidRDefault="00927958" w:rsidP="003A320F">
      <w:pPr>
        <w:rPr>
          <w:szCs w:val="18"/>
        </w:rPr>
      </w:pPr>
      <w:r>
        <w:rPr>
          <w:szCs w:val="18"/>
        </w:rPr>
        <w:t xml:space="preserve">Ongeveer tien procent van de studievoorschotmiddelen is gereserveerd voor landelijke projecten die </w:t>
      </w:r>
      <w:r w:rsidR="00C363C6">
        <w:rPr>
          <w:szCs w:val="18"/>
        </w:rPr>
        <w:t xml:space="preserve">door </w:t>
      </w:r>
      <w:r w:rsidR="00286968">
        <w:rPr>
          <w:szCs w:val="18"/>
        </w:rPr>
        <w:t xml:space="preserve">middel van </w:t>
      </w:r>
      <w:r w:rsidR="00C363C6">
        <w:rPr>
          <w:szCs w:val="18"/>
        </w:rPr>
        <w:t xml:space="preserve">onderwijsvernieuwing en samenwerking </w:t>
      </w:r>
      <w:r w:rsidR="00A957D9">
        <w:rPr>
          <w:szCs w:val="18"/>
        </w:rPr>
        <w:t xml:space="preserve">ook ten goede komen aan de </w:t>
      </w:r>
      <w:r>
        <w:rPr>
          <w:szCs w:val="18"/>
        </w:rPr>
        <w:t>kwaliteit</w:t>
      </w:r>
      <w:r w:rsidR="00A957D9">
        <w:rPr>
          <w:szCs w:val="18"/>
        </w:rPr>
        <w:t xml:space="preserve"> van on</w:t>
      </w:r>
      <w:r w:rsidR="00286968">
        <w:rPr>
          <w:szCs w:val="18"/>
        </w:rPr>
        <w:t>s</w:t>
      </w:r>
      <w:r w:rsidR="00A957D9">
        <w:rPr>
          <w:szCs w:val="18"/>
        </w:rPr>
        <w:t xml:space="preserve"> hoger onderwijs</w:t>
      </w:r>
      <w:r>
        <w:rPr>
          <w:szCs w:val="18"/>
        </w:rPr>
        <w:t>. Hi</w:t>
      </w:r>
      <w:r w:rsidR="001B2905">
        <w:rPr>
          <w:szCs w:val="18"/>
        </w:rPr>
        <w:t>eronder wordt kort ingegaan op de</w:t>
      </w:r>
      <w:r w:rsidR="00A957D9">
        <w:rPr>
          <w:szCs w:val="18"/>
        </w:rPr>
        <w:t>ze</w:t>
      </w:r>
      <w:r w:rsidR="001B2905">
        <w:rPr>
          <w:szCs w:val="18"/>
        </w:rPr>
        <w:t xml:space="preserve"> diverse projecten.</w:t>
      </w:r>
    </w:p>
    <w:p w14:paraId="5905145C" w14:textId="77777777" w:rsidR="00927958" w:rsidRPr="00927958" w:rsidRDefault="00927958" w:rsidP="003A320F">
      <w:pPr>
        <w:rPr>
          <w:szCs w:val="18"/>
        </w:rPr>
      </w:pPr>
    </w:p>
    <w:p w14:paraId="32EAE16B" w14:textId="77777777" w:rsidR="00E43A91" w:rsidRPr="00927958" w:rsidRDefault="00E43A91" w:rsidP="00372D19">
      <w:pPr>
        <w:spacing w:line="240" w:lineRule="auto"/>
        <w:rPr>
          <w:i/>
          <w:szCs w:val="18"/>
        </w:rPr>
      </w:pPr>
      <w:r w:rsidRPr="00927958">
        <w:rPr>
          <w:i/>
          <w:szCs w:val="18"/>
        </w:rPr>
        <w:t>Versnellingsplan Onderwijsinnovatie met ICT</w:t>
      </w:r>
    </w:p>
    <w:p w14:paraId="77D69119" w14:textId="77777777" w:rsidR="00E43A91" w:rsidRPr="00A34E7E" w:rsidRDefault="001B2905" w:rsidP="003A320F">
      <w:pPr>
        <w:rPr>
          <w:szCs w:val="18"/>
        </w:rPr>
      </w:pPr>
      <w:r w:rsidRPr="00A34E7E">
        <w:rPr>
          <w:szCs w:val="18"/>
        </w:rPr>
        <w:t>In het Versnellingsplan voor Onderwij</w:t>
      </w:r>
      <w:r w:rsidR="00A957D9">
        <w:rPr>
          <w:szCs w:val="18"/>
        </w:rPr>
        <w:t xml:space="preserve">sinnovatie met ICT werken </w:t>
      </w:r>
      <w:proofErr w:type="spellStart"/>
      <w:r w:rsidR="00A957D9">
        <w:rPr>
          <w:szCs w:val="18"/>
        </w:rPr>
        <w:t>hoger</w:t>
      </w:r>
      <w:r w:rsidRPr="00A34E7E">
        <w:rPr>
          <w:szCs w:val="18"/>
        </w:rPr>
        <w:t>onderwijsinstellingen</w:t>
      </w:r>
      <w:proofErr w:type="spellEnd"/>
      <w:r w:rsidRPr="00A34E7E">
        <w:rPr>
          <w:szCs w:val="18"/>
        </w:rPr>
        <w:t xml:space="preserve"> samen aan de schaalvergroting van</w:t>
      </w:r>
      <w:r>
        <w:rPr>
          <w:szCs w:val="18"/>
        </w:rPr>
        <w:t xml:space="preserve"> digitalisering, </w:t>
      </w:r>
      <w:r w:rsidR="003A320F">
        <w:rPr>
          <w:szCs w:val="18"/>
        </w:rPr>
        <w:t xml:space="preserve">ten behoeve van de onderwijskwaliteit </w:t>
      </w:r>
      <w:r w:rsidR="00E43A91" w:rsidRPr="00A34E7E">
        <w:rPr>
          <w:szCs w:val="18"/>
        </w:rPr>
        <w:t xml:space="preserve">en </w:t>
      </w:r>
      <w:r w:rsidR="003A320F">
        <w:rPr>
          <w:szCs w:val="18"/>
        </w:rPr>
        <w:t>om f</w:t>
      </w:r>
      <w:r w:rsidR="00E43A91" w:rsidRPr="00A34E7E">
        <w:rPr>
          <w:szCs w:val="18"/>
        </w:rPr>
        <w:t xml:space="preserve">lexibel onderwijs mogelijk te maken. Bewuste inzet van onderwijstechnologieën zoals Virtual en </w:t>
      </w:r>
      <w:proofErr w:type="spellStart"/>
      <w:r w:rsidR="00E43A91" w:rsidRPr="00A34E7E">
        <w:rPr>
          <w:szCs w:val="18"/>
        </w:rPr>
        <w:t>Augmented</w:t>
      </w:r>
      <w:proofErr w:type="spellEnd"/>
      <w:r w:rsidR="00E43A91" w:rsidRPr="00A34E7E">
        <w:rPr>
          <w:szCs w:val="18"/>
        </w:rPr>
        <w:t xml:space="preserve"> </w:t>
      </w:r>
      <w:proofErr w:type="spellStart"/>
      <w:r w:rsidR="00E43A91" w:rsidRPr="00A34E7E">
        <w:rPr>
          <w:szCs w:val="18"/>
        </w:rPr>
        <w:t>Reality</w:t>
      </w:r>
      <w:proofErr w:type="spellEnd"/>
      <w:r w:rsidR="00E43A91" w:rsidRPr="00A34E7E">
        <w:rPr>
          <w:szCs w:val="18"/>
        </w:rPr>
        <w:t xml:space="preserve">, </w:t>
      </w:r>
      <w:proofErr w:type="spellStart"/>
      <w:r w:rsidR="00E43A91" w:rsidRPr="00A34E7E">
        <w:rPr>
          <w:szCs w:val="18"/>
        </w:rPr>
        <w:t>learning</w:t>
      </w:r>
      <w:proofErr w:type="spellEnd"/>
      <w:r w:rsidR="00E43A91" w:rsidRPr="00A34E7E">
        <w:rPr>
          <w:szCs w:val="18"/>
        </w:rPr>
        <w:t xml:space="preserve"> </w:t>
      </w:r>
      <w:proofErr w:type="spellStart"/>
      <w:r w:rsidR="00E43A91" w:rsidRPr="00A34E7E">
        <w:rPr>
          <w:szCs w:val="18"/>
        </w:rPr>
        <w:t>analytics</w:t>
      </w:r>
      <w:proofErr w:type="spellEnd"/>
      <w:r w:rsidR="00E43A91" w:rsidRPr="00A34E7E">
        <w:rPr>
          <w:szCs w:val="18"/>
        </w:rPr>
        <w:t xml:space="preserve">, en </w:t>
      </w:r>
      <w:proofErr w:type="spellStart"/>
      <w:r w:rsidR="00E43A91" w:rsidRPr="00A34E7E">
        <w:rPr>
          <w:szCs w:val="18"/>
        </w:rPr>
        <w:t>serious</w:t>
      </w:r>
      <w:proofErr w:type="spellEnd"/>
      <w:r w:rsidR="00E43A91" w:rsidRPr="00A34E7E">
        <w:rPr>
          <w:szCs w:val="18"/>
        </w:rPr>
        <w:t xml:space="preserve"> games maakt </w:t>
      </w:r>
      <w:r w:rsidR="00AE6AAC">
        <w:rPr>
          <w:szCs w:val="18"/>
        </w:rPr>
        <w:t>studentgericht</w:t>
      </w:r>
      <w:r w:rsidR="00E43A91" w:rsidRPr="00A34E7E">
        <w:rPr>
          <w:szCs w:val="18"/>
        </w:rPr>
        <w:t xml:space="preserve"> en ervarend leren mogelijk. </w:t>
      </w:r>
      <w:r w:rsidR="00927958">
        <w:rPr>
          <w:szCs w:val="18"/>
        </w:rPr>
        <w:t xml:space="preserve">Ook </w:t>
      </w:r>
      <w:r w:rsidR="00E43A91" w:rsidRPr="00A34E7E">
        <w:rPr>
          <w:szCs w:val="18"/>
        </w:rPr>
        <w:t>kan</w:t>
      </w:r>
      <w:r w:rsidR="00927958">
        <w:rPr>
          <w:szCs w:val="18"/>
        </w:rPr>
        <w:t xml:space="preserve"> het</w:t>
      </w:r>
      <w:r w:rsidR="00E43A91" w:rsidRPr="00A34E7E">
        <w:rPr>
          <w:szCs w:val="18"/>
        </w:rPr>
        <w:t xml:space="preserve"> helpen bij meer betrokkenheid v</w:t>
      </w:r>
      <w:r w:rsidR="00927958">
        <w:rPr>
          <w:szCs w:val="18"/>
        </w:rPr>
        <w:t>an de student bij het onderwijs en</w:t>
      </w:r>
      <w:r w:rsidR="00E43A91" w:rsidRPr="00A34E7E">
        <w:rPr>
          <w:szCs w:val="18"/>
        </w:rPr>
        <w:t xml:space="preserve"> het verbeteren van </w:t>
      </w:r>
      <w:r w:rsidR="00927958">
        <w:rPr>
          <w:szCs w:val="18"/>
        </w:rPr>
        <w:t>leeruitkomsten. D</w:t>
      </w:r>
      <w:r w:rsidR="00E43A91" w:rsidRPr="00A34E7E">
        <w:rPr>
          <w:szCs w:val="18"/>
        </w:rPr>
        <w:t>oo</w:t>
      </w:r>
      <w:r w:rsidR="00927958">
        <w:rPr>
          <w:szCs w:val="18"/>
        </w:rPr>
        <w:t>r</w:t>
      </w:r>
      <w:r w:rsidR="00E43A91" w:rsidRPr="00A34E7E">
        <w:rPr>
          <w:szCs w:val="18"/>
        </w:rPr>
        <w:t>dacht digitaliseren</w:t>
      </w:r>
      <w:r w:rsidR="00927958">
        <w:rPr>
          <w:szCs w:val="18"/>
        </w:rPr>
        <w:t xml:space="preserve"> helpt</w:t>
      </w:r>
      <w:r w:rsidR="00E43A91" w:rsidRPr="00A34E7E">
        <w:rPr>
          <w:szCs w:val="18"/>
        </w:rPr>
        <w:t xml:space="preserve"> het onderwijs beter aan te laten sluiten bij indi</w:t>
      </w:r>
      <w:r w:rsidR="00927958">
        <w:rPr>
          <w:szCs w:val="18"/>
        </w:rPr>
        <w:t>viduele leerstijlen en stelt</w:t>
      </w:r>
      <w:r w:rsidR="00E43A91" w:rsidRPr="00A34E7E">
        <w:rPr>
          <w:szCs w:val="18"/>
        </w:rPr>
        <w:t xml:space="preserve"> de docent in staat om vaardigheden en theorie effectiever en op hoger niveau over te dragen.</w:t>
      </w:r>
      <w:r w:rsidR="00927958">
        <w:rPr>
          <w:szCs w:val="18"/>
        </w:rPr>
        <w:t xml:space="preserve"> </w:t>
      </w:r>
      <w:r>
        <w:rPr>
          <w:szCs w:val="18"/>
        </w:rPr>
        <w:t xml:space="preserve">In het versnellingsplan </w:t>
      </w:r>
      <w:r w:rsidR="00E43A91" w:rsidRPr="00A34E7E">
        <w:rPr>
          <w:szCs w:val="18"/>
        </w:rPr>
        <w:t xml:space="preserve">werken docenten, studenten, experts en bestuurders hard aan </w:t>
      </w:r>
      <w:r w:rsidR="00927958">
        <w:rPr>
          <w:szCs w:val="18"/>
        </w:rPr>
        <w:t>concrete</w:t>
      </w:r>
      <w:r w:rsidR="00E43A91" w:rsidRPr="00A34E7E">
        <w:rPr>
          <w:szCs w:val="18"/>
        </w:rPr>
        <w:t xml:space="preserve"> producten, zoals </w:t>
      </w:r>
      <w:proofErr w:type="spellStart"/>
      <w:r w:rsidR="00E43A91" w:rsidRPr="00A34E7E">
        <w:rPr>
          <w:szCs w:val="18"/>
        </w:rPr>
        <w:t>toolkits</w:t>
      </w:r>
      <w:proofErr w:type="spellEnd"/>
      <w:r w:rsidR="00AE6AAC">
        <w:rPr>
          <w:szCs w:val="18"/>
        </w:rPr>
        <w:t xml:space="preserve"> voor docentprofessionalisering</w:t>
      </w:r>
      <w:r w:rsidR="00E43A91" w:rsidRPr="00A34E7E">
        <w:rPr>
          <w:szCs w:val="18"/>
        </w:rPr>
        <w:t xml:space="preserve"> en handleidingen </w:t>
      </w:r>
      <w:r w:rsidR="00AE6AAC">
        <w:rPr>
          <w:szCs w:val="18"/>
        </w:rPr>
        <w:t xml:space="preserve">voor digitale (open) leermaterialen </w:t>
      </w:r>
      <w:r w:rsidR="00E43A91" w:rsidRPr="00A34E7E">
        <w:rPr>
          <w:szCs w:val="18"/>
        </w:rPr>
        <w:t>waarmee we het onderwijs kunnen verbeteren.</w:t>
      </w:r>
      <w:r w:rsidR="00174059" w:rsidRPr="00174059">
        <w:rPr>
          <w:szCs w:val="18"/>
        </w:rPr>
        <w:t xml:space="preserve"> </w:t>
      </w:r>
      <w:r w:rsidR="00174059">
        <w:rPr>
          <w:szCs w:val="18"/>
        </w:rPr>
        <w:t>In de periode 2019-2022 is in totaal € 15 miljoen  beschikbaar gesteld voor het versnellingsplan.</w:t>
      </w:r>
    </w:p>
    <w:p w14:paraId="7D895401" w14:textId="77777777" w:rsidR="00E43A91" w:rsidRDefault="00E43A91" w:rsidP="003A320F">
      <w:pPr>
        <w:rPr>
          <w:szCs w:val="18"/>
        </w:rPr>
      </w:pPr>
    </w:p>
    <w:p w14:paraId="1868A82C" w14:textId="77777777" w:rsidR="00E43A91" w:rsidRPr="001B2905" w:rsidRDefault="00E43A91" w:rsidP="003A320F">
      <w:pPr>
        <w:rPr>
          <w:i/>
          <w:szCs w:val="18"/>
        </w:rPr>
      </w:pPr>
      <w:r w:rsidRPr="001B2905">
        <w:rPr>
          <w:i/>
          <w:szCs w:val="18"/>
        </w:rPr>
        <w:t>City Deal Kennis Maken</w:t>
      </w:r>
    </w:p>
    <w:p w14:paraId="02085291" w14:textId="77777777" w:rsidR="00E43A91" w:rsidRPr="00A34E7E" w:rsidRDefault="00E43A91" w:rsidP="003A320F">
      <w:pPr>
        <w:rPr>
          <w:szCs w:val="18"/>
        </w:rPr>
      </w:pPr>
      <w:r w:rsidRPr="00A34E7E">
        <w:rPr>
          <w:szCs w:val="18"/>
        </w:rPr>
        <w:t>De inzet van de City Deal Kennis Maken</w:t>
      </w:r>
      <w:r w:rsidR="003A320F">
        <w:rPr>
          <w:szCs w:val="18"/>
        </w:rPr>
        <w:t xml:space="preserve"> (2017 </w:t>
      </w:r>
      <w:r w:rsidR="001958A2">
        <w:rPr>
          <w:szCs w:val="18"/>
        </w:rPr>
        <w:t>t/m 2021</w:t>
      </w:r>
      <w:r w:rsidR="003A320F">
        <w:rPr>
          <w:szCs w:val="18"/>
        </w:rPr>
        <w:t>)</w:t>
      </w:r>
      <w:r w:rsidRPr="00A34E7E">
        <w:rPr>
          <w:szCs w:val="18"/>
        </w:rPr>
        <w:t xml:space="preserve"> is om een versnelling tot stand te brengen in het oplossen van maatschappelijke opgaven van steden door onderzoekers, docenten en studenten hierbij grootschalig te betrekken. De betrokken steden, kennisinstellingen en andere partners beschouwen dit enerzijds als een vorm van kennisbenutting en anderzijds als het aanbieden van de stad als leeromgeving voor studenten. Centraal in de City Deal staan talentontwikkeling, ondernemerschap én het stimuleren van maatschappelijke betrokkenheid.</w:t>
      </w:r>
      <w:r w:rsidR="00174059">
        <w:rPr>
          <w:szCs w:val="18"/>
        </w:rPr>
        <w:t xml:space="preserve"> In deze periode 2018-2021 is hiervoor € 4,65 miljoen beschikbaar gesteld.</w:t>
      </w:r>
    </w:p>
    <w:p w14:paraId="14542918" w14:textId="77777777" w:rsidR="00E43A91" w:rsidRPr="00A34E7E" w:rsidRDefault="00E43A91" w:rsidP="003A320F">
      <w:pPr>
        <w:rPr>
          <w:szCs w:val="18"/>
        </w:rPr>
      </w:pPr>
    </w:p>
    <w:p w14:paraId="7BB93BD5" w14:textId="77777777" w:rsidR="001B2905" w:rsidRDefault="00E43A91" w:rsidP="003A320F">
      <w:pPr>
        <w:rPr>
          <w:i/>
          <w:szCs w:val="18"/>
        </w:rPr>
      </w:pPr>
      <w:r w:rsidRPr="001B2905">
        <w:rPr>
          <w:i/>
          <w:szCs w:val="18"/>
        </w:rPr>
        <w:t>Comeniusprogramma</w:t>
      </w:r>
    </w:p>
    <w:p w14:paraId="0C39617A" w14:textId="77777777" w:rsidR="00E43A91" w:rsidRPr="001B2905" w:rsidRDefault="001B2905" w:rsidP="003A320F">
      <w:pPr>
        <w:rPr>
          <w:i/>
          <w:szCs w:val="18"/>
        </w:rPr>
      </w:pPr>
      <w:r>
        <w:rPr>
          <w:szCs w:val="18"/>
        </w:rPr>
        <w:t xml:space="preserve">Het Comeniusbeurzenprogramma </w:t>
      </w:r>
      <w:r w:rsidR="003A320F">
        <w:rPr>
          <w:szCs w:val="18"/>
        </w:rPr>
        <w:t>biedt</w:t>
      </w:r>
      <w:r w:rsidR="00E43A91" w:rsidRPr="00A34E7E">
        <w:rPr>
          <w:szCs w:val="18"/>
        </w:rPr>
        <w:t xml:space="preserve"> innovatiebeurzen voor docenten</w:t>
      </w:r>
      <w:r>
        <w:rPr>
          <w:szCs w:val="18"/>
        </w:rPr>
        <w:t xml:space="preserve"> </w:t>
      </w:r>
      <w:r w:rsidR="00E43A91" w:rsidRPr="00A34E7E">
        <w:rPr>
          <w:szCs w:val="18"/>
        </w:rPr>
        <w:t>voor vernieuwing van een vak, voor seniordo</w:t>
      </w:r>
      <w:r>
        <w:rPr>
          <w:szCs w:val="18"/>
        </w:rPr>
        <w:t xml:space="preserve">centen </w:t>
      </w:r>
      <w:r w:rsidR="00E43A91" w:rsidRPr="00A34E7E">
        <w:rPr>
          <w:szCs w:val="18"/>
        </w:rPr>
        <w:t>voor vernieuwing van een opleiding en voor onderwijskundig leiders</w:t>
      </w:r>
      <w:r w:rsidR="003A320F">
        <w:rPr>
          <w:szCs w:val="18"/>
        </w:rPr>
        <w:t xml:space="preserve"> voor</w:t>
      </w:r>
      <w:r w:rsidR="00E43A91" w:rsidRPr="00A34E7E">
        <w:rPr>
          <w:szCs w:val="18"/>
        </w:rPr>
        <w:t xml:space="preserve"> een </w:t>
      </w:r>
      <w:proofErr w:type="spellStart"/>
      <w:r w:rsidR="00E43A91" w:rsidRPr="00A34E7E">
        <w:rPr>
          <w:szCs w:val="18"/>
        </w:rPr>
        <w:t>instellingsbrede</w:t>
      </w:r>
      <w:proofErr w:type="spellEnd"/>
      <w:r w:rsidR="00E43A91" w:rsidRPr="00A34E7E">
        <w:rPr>
          <w:szCs w:val="18"/>
        </w:rPr>
        <w:t xml:space="preserve"> vernieuwing passend bij het profiel van de instelling. Jaarlijks worden </w:t>
      </w:r>
      <w:r w:rsidR="003C7D99">
        <w:rPr>
          <w:szCs w:val="18"/>
        </w:rPr>
        <w:t>66</w:t>
      </w:r>
      <w:r w:rsidR="00E43A91" w:rsidRPr="00A34E7E">
        <w:rPr>
          <w:szCs w:val="18"/>
        </w:rPr>
        <w:t xml:space="preserve"> Comeniusbeurzen </w:t>
      </w:r>
      <w:r w:rsidR="003A320F">
        <w:rPr>
          <w:szCs w:val="18"/>
        </w:rPr>
        <w:t xml:space="preserve">uitgereikt. </w:t>
      </w:r>
      <w:r w:rsidR="00174059">
        <w:rPr>
          <w:szCs w:val="18"/>
        </w:rPr>
        <w:t xml:space="preserve">In periode 2018-2020 is hiervoor jaarlijks circa € 7 miljoen beschikbaar gesteld. </w:t>
      </w:r>
      <w:r w:rsidR="00E43A91" w:rsidRPr="00A34E7E">
        <w:rPr>
          <w:szCs w:val="18"/>
        </w:rPr>
        <w:t xml:space="preserve">Thema’s van de Comeniusronde 2020 zijn: </w:t>
      </w:r>
      <w:r w:rsidR="00286968">
        <w:rPr>
          <w:szCs w:val="18"/>
        </w:rPr>
        <w:t>inclusief o</w:t>
      </w:r>
      <w:r w:rsidR="003A320F">
        <w:rPr>
          <w:szCs w:val="18"/>
        </w:rPr>
        <w:t xml:space="preserve">nderwijs, </w:t>
      </w:r>
      <w:proofErr w:type="spellStart"/>
      <w:r w:rsidR="003A320F">
        <w:rPr>
          <w:szCs w:val="18"/>
        </w:rPr>
        <w:t>Bildung</w:t>
      </w:r>
      <w:proofErr w:type="spellEnd"/>
      <w:r w:rsidR="003A320F">
        <w:rPr>
          <w:szCs w:val="18"/>
        </w:rPr>
        <w:t xml:space="preserve"> / i</w:t>
      </w:r>
      <w:r w:rsidR="00E43A91" w:rsidRPr="00A34E7E">
        <w:rPr>
          <w:szCs w:val="18"/>
        </w:rPr>
        <w:t>dentiteitsvorming</w:t>
      </w:r>
      <w:r w:rsidR="003A320F">
        <w:rPr>
          <w:szCs w:val="18"/>
        </w:rPr>
        <w:t xml:space="preserve"> en v</w:t>
      </w:r>
      <w:r w:rsidR="00E43A91" w:rsidRPr="00A34E7E">
        <w:rPr>
          <w:szCs w:val="18"/>
        </w:rPr>
        <w:t xml:space="preserve">erbinding met de </w:t>
      </w:r>
      <w:r w:rsidR="003A320F">
        <w:rPr>
          <w:szCs w:val="18"/>
        </w:rPr>
        <w:t>s</w:t>
      </w:r>
      <w:r w:rsidR="00E43A91" w:rsidRPr="00A34E7E">
        <w:rPr>
          <w:szCs w:val="18"/>
        </w:rPr>
        <w:t>amenleving. Het</w:t>
      </w:r>
      <w:r>
        <w:rPr>
          <w:szCs w:val="18"/>
        </w:rPr>
        <w:t xml:space="preserve"> is</w:t>
      </w:r>
      <w:r w:rsidR="00E43A91" w:rsidRPr="00A34E7E">
        <w:rPr>
          <w:szCs w:val="18"/>
        </w:rPr>
        <w:t xml:space="preserve"> nadrukkelijk de bedoeling dat het beurzenprogramma ook bijdraagt aan de loopbaankansen voor goede docenten. </w:t>
      </w:r>
    </w:p>
    <w:p w14:paraId="105D4BFB" w14:textId="77777777" w:rsidR="00E43A91" w:rsidRPr="00A34E7E" w:rsidRDefault="00C363C6" w:rsidP="003A320F">
      <w:pPr>
        <w:rPr>
          <w:szCs w:val="18"/>
        </w:rPr>
      </w:pPr>
      <w:r>
        <w:rPr>
          <w:szCs w:val="18"/>
        </w:rPr>
        <w:t xml:space="preserve">Ontvangers van een beurs </w:t>
      </w:r>
      <w:r w:rsidRPr="00A34E7E">
        <w:rPr>
          <w:szCs w:val="18"/>
        </w:rPr>
        <w:t>uit het Comeniusprogramma en de genomineerde kandidaten voor de verk</w:t>
      </w:r>
      <w:r>
        <w:rPr>
          <w:szCs w:val="18"/>
        </w:rPr>
        <w:t>iezing van Docent van het Jaar</w:t>
      </w:r>
      <w:r>
        <w:rPr>
          <w:rStyle w:val="Voetnootmarkering"/>
          <w:szCs w:val="18"/>
        </w:rPr>
        <w:footnoteReference w:id="6"/>
      </w:r>
      <w:r w:rsidRPr="00A34E7E">
        <w:rPr>
          <w:szCs w:val="18"/>
        </w:rPr>
        <w:t xml:space="preserve"> </w:t>
      </w:r>
      <w:r>
        <w:rPr>
          <w:szCs w:val="18"/>
        </w:rPr>
        <w:t xml:space="preserve">vormen samen het </w:t>
      </w:r>
      <w:proofErr w:type="spellStart"/>
      <w:r>
        <w:rPr>
          <w:szCs w:val="18"/>
        </w:rPr>
        <w:t>ComeniusNetwerk</w:t>
      </w:r>
      <w:proofErr w:type="spellEnd"/>
      <w:r>
        <w:rPr>
          <w:szCs w:val="18"/>
        </w:rPr>
        <w:t xml:space="preserve">, </w:t>
      </w:r>
      <w:r w:rsidR="00E43A91" w:rsidRPr="00A34E7E">
        <w:rPr>
          <w:szCs w:val="18"/>
        </w:rPr>
        <w:t xml:space="preserve">dat is onder gebracht bij de Koninklijke </w:t>
      </w:r>
      <w:proofErr w:type="spellStart"/>
      <w:r w:rsidR="00E43A91" w:rsidRPr="00A34E7E">
        <w:rPr>
          <w:szCs w:val="18"/>
        </w:rPr>
        <w:t>Akademie</w:t>
      </w:r>
      <w:proofErr w:type="spellEnd"/>
      <w:r w:rsidR="00E43A91" w:rsidRPr="00A34E7E">
        <w:rPr>
          <w:szCs w:val="18"/>
        </w:rPr>
        <w:t xml:space="preserve"> voor Wetenschappen (KNAW). </w:t>
      </w:r>
      <w:r>
        <w:rPr>
          <w:szCs w:val="18"/>
        </w:rPr>
        <w:t>In het netwerk</w:t>
      </w:r>
      <w:r w:rsidR="00E43A91" w:rsidRPr="00A34E7E">
        <w:rPr>
          <w:szCs w:val="18"/>
        </w:rPr>
        <w:t xml:space="preserve"> wisselen deze onderwijsve</w:t>
      </w:r>
      <w:r w:rsidR="003A320F">
        <w:rPr>
          <w:szCs w:val="18"/>
        </w:rPr>
        <w:t>rnieuwers op landelijk niveau via bijeenkomsten en seminars</w:t>
      </w:r>
      <w:r w:rsidR="00E43A91" w:rsidRPr="00A34E7E">
        <w:rPr>
          <w:szCs w:val="18"/>
        </w:rPr>
        <w:t xml:space="preserve"> onderling kennis en expertise uit. Er wordt onder andere gewerkt aan een visie op goed hoger onderwijs </w:t>
      </w:r>
      <w:r>
        <w:rPr>
          <w:szCs w:val="18"/>
        </w:rPr>
        <w:t>op vier thema’s</w:t>
      </w:r>
      <w:r w:rsidR="00E43A91" w:rsidRPr="00A34E7E">
        <w:rPr>
          <w:szCs w:val="18"/>
        </w:rPr>
        <w:t xml:space="preserve">: 1. duurzaam docentschap, 2. inclusie (t.b.v. studenten), 3. verandering verankeren en 4. vorming van studenten. </w:t>
      </w:r>
    </w:p>
    <w:p w14:paraId="66389AAC" w14:textId="77777777" w:rsidR="00A15404" w:rsidRDefault="00A15404">
      <w:pPr>
        <w:spacing w:line="240" w:lineRule="auto"/>
        <w:rPr>
          <w:i/>
          <w:szCs w:val="18"/>
        </w:rPr>
      </w:pPr>
    </w:p>
    <w:p w14:paraId="2492A50F" w14:textId="77777777" w:rsidR="00372D19" w:rsidRDefault="00372D19">
      <w:pPr>
        <w:spacing w:line="240" w:lineRule="auto"/>
        <w:rPr>
          <w:i/>
          <w:szCs w:val="18"/>
        </w:rPr>
      </w:pPr>
    </w:p>
    <w:p w14:paraId="28D2EB7F" w14:textId="77777777" w:rsidR="00E43A91" w:rsidRPr="00C363C6" w:rsidRDefault="00E43A91" w:rsidP="00444986">
      <w:pPr>
        <w:spacing w:line="240" w:lineRule="auto"/>
        <w:rPr>
          <w:i/>
          <w:szCs w:val="18"/>
        </w:rPr>
      </w:pPr>
      <w:r w:rsidRPr="00C363C6">
        <w:rPr>
          <w:i/>
          <w:szCs w:val="18"/>
        </w:rPr>
        <w:t>Online platform voor onderwijsinnovatie</w:t>
      </w:r>
    </w:p>
    <w:p w14:paraId="3EA11FB5" w14:textId="77777777" w:rsidR="00E43A91" w:rsidRPr="00A34E7E" w:rsidRDefault="00E5611B" w:rsidP="003A320F">
      <w:pPr>
        <w:rPr>
          <w:szCs w:val="18"/>
        </w:rPr>
      </w:pPr>
      <w:r>
        <w:rPr>
          <w:szCs w:val="18"/>
        </w:rPr>
        <w:t>I</w:t>
      </w:r>
      <w:r w:rsidRPr="00A34E7E">
        <w:rPr>
          <w:szCs w:val="18"/>
        </w:rPr>
        <w:t xml:space="preserve">n het voorjaar van 2020 </w:t>
      </w:r>
      <w:r>
        <w:rPr>
          <w:szCs w:val="18"/>
        </w:rPr>
        <w:t>wordt</w:t>
      </w:r>
      <w:r w:rsidRPr="00A34E7E">
        <w:rPr>
          <w:szCs w:val="18"/>
        </w:rPr>
        <w:t xml:space="preserve"> een online platform voor onderwijsinnovatie in het ho gerealiseerd, om de vernieuwingsprojecten (wa</w:t>
      </w:r>
      <w:r>
        <w:rPr>
          <w:szCs w:val="18"/>
        </w:rPr>
        <w:t xml:space="preserve">aronder de Comeniusprojecten), </w:t>
      </w:r>
      <w:r w:rsidRPr="00A34E7E">
        <w:rPr>
          <w:szCs w:val="18"/>
        </w:rPr>
        <w:t xml:space="preserve">bestaande professionaliseringsactiviteiten en het praktijkgericht </w:t>
      </w:r>
      <w:r>
        <w:rPr>
          <w:szCs w:val="18"/>
        </w:rPr>
        <w:t>onderwijs</w:t>
      </w:r>
      <w:r w:rsidRPr="00A34E7E">
        <w:rPr>
          <w:szCs w:val="18"/>
        </w:rPr>
        <w:t xml:space="preserve">onderzoek thematisch bij elkaar te brengen. </w:t>
      </w:r>
      <w:r w:rsidR="00E43A91" w:rsidRPr="00A34E7E">
        <w:rPr>
          <w:szCs w:val="18"/>
        </w:rPr>
        <w:t>Elk thema krijgt een eigen themacoördinato</w:t>
      </w:r>
      <w:r w:rsidR="00C363C6">
        <w:rPr>
          <w:szCs w:val="18"/>
        </w:rPr>
        <w:t>r. Het platform is bedoeld voor</w:t>
      </w:r>
      <w:r w:rsidR="00E43A91" w:rsidRPr="00A34E7E">
        <w:rPr>
          <w:szCs w:val="18"/>
        </w:rPr>
        <w:t xml:space="preserve"> docenten</w:t>
      </w:r>
      <w:r w:rsidR="00C363C6">
        <w:rPr>
          <w:szCs w:val="18"/>
        </w:rPr>
        <w:t>,</w:t>
      </w:r>
      <w:r w:rsidR="00E43A91" w:rsidRPr="00A34E7E">
        <w:rPr>
          <w:szCs w:val="18"/>
        </w:rPr>
        <w:t xml:space="preserve"> onderwijsleiders, </w:t>
      </w:r>
      <w:proofErr w:type="spellStart"/>
      <w:r w:rsidR="00E43A91" w:rsidRPr="00A34E7E">
        <w:rPr>
          <w:szCs w:val="18"/>
        </w:rPr>
        <w:t>icto</w:t>
      </w:r>
      <w:proofErr w:type="spellEnd"/>
      <w:r w:rsidR="00E43A91" w:rsidRPr="00A34E7E">
        <w:rPr>
          <w:szCs w:val="18"/>
        </w:rPr>
        <w:t>-coaches</w:t>
      </w:r>
      <w:r w:rsidR="004517DD">
        <w:rPr>
          <w:szCs w:val="18"/>
        </w:rPr>
        <w:t xml:space="preserve"> (coaches voor </w:t>
      </w:r>
      <w:r>
        <w:rPr>
          <w:szCs w:val="18"/>
        </w:rPr>
        <w:t>ICT</w:t>
      </w:r>
      <w:r w:rsidR="004517DD">
        <w:rPr>
          <w:szCs w:val="18"/>
        </w:rPr>
        <w:t xml:space="preserve"> en onderwijs), </w:t>
      </w:r>
      <w:r w:rsidR="00E43A91" w:rsidRPr="00A34E7E">
        <w:rPr>
          <w:szCs w:val="18"/>
        </w:rPr>
        <w:t>docenttrainers en andere onderwijsprofessionals.</w:t>
      </w:r>
      <w:r w:rsidR="009619A7">
        <w:rPr>
          <w:szCs w:val="18"/>
        </w:rPr>
        <w:t xml:space="preserve"> Hiervoor is in 2019 en 2020 in totaal € 400.000 beschikbaar.</w:t>
      </w:r>
    </w:p>
    <w:p w14:paraId="464A41EA" w14:textId="77777777" w:rsidR="00E43A91" w:rsidRPr="00A34E7E" w:rsidRDefault="00E43A91" w:rsidP="003A320F">
      <w:pPr>
        <w:rPr>
          <w:szCs w:val="18"/>
        </w:rPr>
      </w:pPr>
    </w:p>
    <w:p w14:paraId="29CF7BB6" w14:textId="77777777" w:rsidR="00E43A91" w:rsidRPr="00C363C6" w:rsidRDefault="00E43A91" w:rsidP="003A320F">
      <w:pPr>
        <w:rPr>
          <w:i/>
          <w:szCs w:val="18"/>
        </w:rPr>
      </w:pPr>
      <w:r w:rsidRPr="00C363C6">
        <w:rPr>
          <w:i/>
          <w:szCs w:val="18"/>
        </w:rPr>
        <w:t>Onderwijsprijs</w:t>
      </w:r>
    </w:p>
    <w:p w14:paraId="17C9B675" w14:textId="77777777" w:rsidR="00F93A53" w:rsidRDefault="003A320F" w:rsidP="003A320F">
      <w:pPr>
        <w:rPr>
          <w:szCs w:val="18"/>
        </w:rPr>
      </w:pPr>
      <w:r>
        <w:rPr>
          <w:szCs w:val="18"/>
        </w:rPr>
        <w:t>Er</w:t>
      </w:r>
      <w:r w:rsidR="00C363C6">
        <w:rPr>
          <w:szCs w:val="18"/>
        </w:rPr>
        <w:t xml:space="preserve"> bestaan reeds prijzen voor onderzoek en impact als de</w:t>
      </w:r>
      <w:r w:rsidR="00E43A91" w:rsidRPr="00A34E7E">
        <w:rPr>
          <w:szCs w:val="18"/>
        </w:rPr>
        <w:t xml:space="preserve"> Spinoza- en de Stevinpremie voor de u</w:t>
      </w:r>
      <w:r w:rsidR="003748EE">
        <w:rPr>
          <w:szCs w:val="18"/>
        </w:rPr>
        <w:t>niversiteiten en</w:t>
      </w:r>
      <w:r w:rsidR="00E43A91" w:rsidRPr="00A34E7E">
        <w:rPr>
          <w:szCs w:val="18"/>
        </w:rPr>
        <w:t xml:space="preserve"> de Deltapremie voor de hogescholen. </w:t>
      </w:r>
      <w:r w:rsidR="006136D7">
        <w:rPr>
          <w:szCs w:val="18"/>
        </w:rPr>
        <w:t>Er wordt gewerkt aan een equivalent voor het geven van onderwijs.</w:t>
      </w:r>
      <w:r w:rsidR="006136D7" w:rsidRPr="006136D7">
        <w:rPr>
          <w:szCs w:val="18"/>
        </w:rPr>
        <w:t xml:space="preserve"> </w:t>
      </w:r>
      <w:r w:rsidR="003B1ADF">
        <w:rPr>
          <w:szCs w:val="18"/>
        </w:rPr>
        <w:t>Deze Onderwijsprijs z</w:t>
      </w:r>
      <w:r w:rsidR="000628DC">
        <w:rPr>
          <w:szCs w:val="18"/>
        </w:rPr>
        <w:t>al</w:t>
      </w:r>
      <w:r w:rsidR="003B1ADF">
        <w:rPr>
          <w:szCs w:val="18"/>
        </w:rPr>
        <w:t xml:space="preserve"> in 2020</w:t>
      </w:r>
      <w:r w:rsidR="006136D7" w:rsidRPr="00A34E7E">
        <w:rPr>
          <w:szCs w:val="18"/>
        </w:rPr>
        <w:t xml:space="preserve"> voor het eerst aan een wo en hbo-instelling worden uitgereikt</w:t>
      </w:r>
      <w:r w:rsidR="006136D7">
        <w:rPr>
          <w:szCs w:val="18"/>
        </w:rPr>
        <w:t xml:space="preserve"> en</w:t>
      </w:r>
      <w:r w:rsidR="00E43A91" w:rsidRPr="00A34E7E">
        <w:rPr>
          <w:szCs w:val="18"/>
        </w:rPr>
        <w:t xml:space="preserve"> is bedoeld voor teams van docenten en onderwijsleiders die zich uitzonder</w:t>
      </w:r>
      <w:r w:rsidR="006136D7">
        <w:rPr>
          <w:szCs w:val="18"/>
        </w:rPr>
        <w:t>l</w:t>
      </w:r>
      <w:r w:rsidR="00E43A91" w:rsidRPr="00A34E7E">
        <w:rPr>
          <w:szCs w:val="18"/>
        </w:rPr>
        <w:t>ijk bewezen hebben op het terrein van vernieuwing van het hoger onderwijs met grote sectorale, regionale, nationale of internationale uitstraling, hier ook onderzoek naar hebben verricht en kennis hierover</w:t>
      </w:r>
      <w:r w:rsidR="006136D7">
        <w:rPr>
          <w:szCs w:val="18"/>
        </w:rPr>
        <w:t xml:space="preserve"> hebben</w:t>
      </w:r>
      <w:r w:rsidR="00E43A91" w:rsidRPr="00A34E7E">
        <w:rPr>
          <w:szCs w:val="18"/>
        </w:rPr>
        <w:t xml:space="preserve"> verspreid.</w:t>
      </w:r>
      <w:r w:rsidR="009619A7">
        <w:rPr>
          <w:szCs w:val="18"/>
        </w:rPr>
        <w:t xml:space="preserve"> Voor de onderwijsprijs is elk jaar € </w:t>
      </w:r>
      <w:r w:rsidR="00F93A53">
        <w:rPr>
          <w:szCs w:val="18"/>
        </w:rPr>
        <w:t>2 miljoen</w:t>
      </w:r>
      <w:r w:rsidR="009619A7">
        <w:rPr>
          <w:szCs w:val="18"/>
        </w:rPr>
        <w:t xml:space="preserve"> beschikbaar.</w:t>
      </w:r>
    </w:p>
    <w:p w14:paraId="306968F7" w14:textId="77777777" w:rsidR="00852A78" w:rsidRDefault="00852A78" w:rsidP="003A320F">
      <w:pPr>
        <w:rPr>
          <w:szCs w:val="18"/>
        </w:rPr>
      </w:pPr>
    </w:p>
    <w:p w14:paraId="56ECA9FD" w14:textId="77777777" w:rsidR="00F93A53" w:rsidRPr="00C363C6" w:rsidRDefault="00F93A53" w:rsidP="00F93A53">
      <w:pPr>
        <w:spacing w:line="240" w:lineRule="auto"/>
        <w:rPr>
          <w:i/>
          <w:szCs w:val="18"/>
        </w:rPr>
      </w:pPr>
      <w:r w:rsidRPr="00C363C6">
        <w:rPr>
          <w:i/>
          <w:szCs w:val="18"/>
        </w:rPr>
        <w:t>Praktijkgericht onderwijsonderzoek</w:t>
      </w:r>
    </w:p>
    <w:p w14:paraId="50423C14" w14:textId="77777777" w:rsidR="00F93A53" w:rsidRDefault="00F93A53" w:rsidP="00F93A53">
      <w:pPr>
        <w:rPr>
          <w:szCs w:val="18"/>
        </w:rPr>
      </w:pPr>
      <w:r>
        <w:rPr>
          <w:szCs w:val="18"/>
        </w:rPr>
        <w:t>V</w:t>
      </w:r>
      <w:r w:rsidRPr="00A34E7E">
        <w:rPr>
          <w:szCs w:val="18"/>
        </w:rPr>
        <w:t>ia h</w:t>
      </w:r>
      <w:r>
        <w:rPr>
          <w:szCs w:val="18"/>
        </w:rPr>
        <w:t>et Nationaal Regieorgaan Onderwijsonderzoek (NRO) worden</w:t>
      </w:r>
      <w:r w:rsidRPr="00A34E7E">
        <w:rPr>
          <w:szCs w:val="18"/>
        </w:rPr>
        <w:t xml:space="preserve"> middelen beschikbaar gesteld voor (praktijkgericht) onderzoek naar het hoger onderwijs. </w:t>
      </w:r>
      <w:r>
        <w:rPr>
          <w:szCs w:val="18"/>
        </w:rPr>
        <w:t>De t</w:t>
      </w:r>
      <w:r w:rsidRPr="00A34E7E">
        <w:rPr>
          <w:szCs w:val="18"/>
        </w:rPr>
        <w:t>h</w:t>
      </w:r>
      <w:r>
        <w:rPr>
          <w:szCs w:val="18"/>
        </w:rPr>
        <w:t xml:space="preserve">ema’s voor ronde 2018 waren </w:t>
      </w:r>
      <w:r w:rsidRPr="00A34E7E">
        <w:rPr>
          <w:szCs w:val="18"/>
        </w:rPr>
        <w:t>toegankelijkheid van het hoger onderwijs, kleinschalig</w:t>
      </w:r>
      <w:r>
        <w:rPr>
          <w:szCs w:val="18"/>
        </w:rPr>
        <w:t xml:space="preserve"> onderwijs en studentenwelzijn </w:t>
      </w:r>
      <w:r w:rsidRPr="00A34E7E">
        <w:rPr>
          <w:szCs w:val="18"/>
        </w:rPr>
        <w:t>en de verbinding</w:t>
      </w:r>
      <w:r>
        <w:rPr>
          <w:szCs w:val="18"/>
        </w:rPr>
        <w:t xml:space="preserve"> met de samenleving. </w:t>
      </w:r>
      <w:r w:rsidRPr="00A34E7E">
        <w:rPr>
          <w:szCs w:val="18"/>
        </w:rPr>
        <w:t>Het onderzoek, waarvoor €</w:t>
      </w:r>
      <w:r>
        <w:rPr>
          <w:szCs w:val="18"/>
        </w:rPr>
        <w:t xml:space="preserve"> 2 miljoen </w:t>
      </w:r>
      <w:r w:rsidRPr="00A34E7E">
        <w:rPr>
          <w:szCs w:val="18"/>
        </w:rPr>
        <w:t xml:space="preserve">beschikbaar werd gesteld, wordt uitgevoerd door </w:t>
      </w:r>
      <w:proofErr w:type="spellStart"/>
      <w:r w:rsidRPr="00A34E7E">
        <w:rPr>
          <w:szCs w:val="18"/>
        </w:rPr>
        <w:t>onderzo</w:t>
      </w:r>
      <w:r>
        <w:rPr>
          <w:szCs w:val="18"/>
        </w:rPr>
        <w:t>eksconsortia</w:t>
      </w:r>
      <w:proofErr w:type="spellEnd"/>
      <w:r>
        <w:rPr>
          <w:szCs w:val="18"/>
        </w:rPr>
        <w:t xml:space="preserve"> met daar</w:t>
      </w:r>
      <w:r w:rsidRPr="00A34E7E">
        <w:rPr>
          <w:szCs w:val="18"/>
        </w:rPr>
        <w:t xml:space="preserve">in onderzoekers, docenten en onderwijsprofessionals uit meerdere hoger onderwijsinstellingen, waarbij hogescholen en universiteiten samenwerken. </w:t>
      </w:r>
      <w:r>
        <w:rPr>
          <w:szCs w:val="18"/>
        </w:rPr>
        <w:t xml:space="preserve">De thema’s voor de ronde in 2019 en 2020 zijn </w:t>
      </w:r>
      <w:r w:rsidRPr="00A34E7E">
        <w:rPr>
          <w:szCs w:val="18"/>
        </w:rPr>
        <w:t>professionele ontwikkeling van docenten, internationaal en intercultureel onderwijs en flexibel onderwijs.</w:t>
      </w:r>
    </w:p>
    <w:p w14:paraId="1807BE0F" w14:textId="77777777" w:rsidR="00F93A53" w:rsidRPr="009619A7" w:rsidRDefault="00F93A53" w:rsidP="003A320F">
      <w:pPr>
        <w:rPr>
          <w:szCs w:val="18"/>
        </w:rPr>
      </w:pPr>
    </w:p>
    <w:p w14:paraId="7C130369" w14:textId="77777777" w:rsidR="00E43A91" w:rsidRPr="00C363C6" w:rsidRDefault="00E43A91" w:rsidP="006B608C">
      <w:pPr>
        <w:spacing w:line="240" w:lineRule="auto"/>
        <w:rPr>
          <w:i/>
          <w:szCs w:val="18"/>
        </w:rPr>
      </w:pPr>
      <w:r w:rsidRPr="00C363C6">
        <w:rPr>
          <w:i/>
          <w:szCs w:val="18"/>
        </w:rPr>
        <w:t>Regionale samenwerking mbo-hbo en vo-ho</w:t>
      </w:r>
    </w:p>
    <w:p w14:paraId="0076DBAB" w14:textId="77777777" w:rsidR="00E43A91" w:rsidRDefault="00E43A91" w:rsidP="003A320F">
      <w:pPr>
        <w:rPr>
          <w:szCs w:val="18"/>
        </w:rPr>
      </w:pPr>
      <w:r w:rsidRPr="00085FB8">
        <w:rPr>
          <w:szCs w:val="18"/>
        </w:rPr>
        <w:t xml:space="preserve">Van 2018 tot en met 2021 </w:t>
      </w:r>
      <w:r w:rsidR="00034939">
        <w:rPr>
          <w:szCs w:val="18"/>
        </w:rPr>
        <w:t>worden studievoorschotmiddelen beschikbaar gesteld</w:t>
      </w:r>
      <w:r w:rsidRPr="00085FB8">
        <w:rPr>
          <w:szCs w:val="18"/>
        </w:rPr>
        <w:t xml:space="preserve"> aan hogescholen en universiteiten voor het stimuleren van regionale samenwerking mbo-hbo en vo-ho. </w:t>
      </w:r>
      <w:r w:rsidR="00174059">
        <w:rPr>
          <w:szCs w:val="18"/>
        </w:rPr>
        <w:t>Het gaat om een bedrag van in totaal € 32,1 miljoen.</w:t>
      </w:r>
      <w:r w:rsidR="00174059" w:rsidRPr="00085FB8">
        <w:rPr>
          <w:szCs w:val="18"/>
        </w:rPr>
        <w:t xml:space="preserve"> </w:t>
      </w:r>
      <w:r w:rsidRPr="00085FB8">
        <w:rPr>
          <w:szCs w:val="18"/>
        </w:rPr>
        <w:t>Op basis van moni</w:t>
      </w:r>
      <w:r w:rsidR="006136D7">
        <w:rPr>
          <w:szCs w:val="18"/>
        </w:rPr>
        <w:t>torgesprekken in</w:t>
      </w:r>
      <w:r w:rsidRPr="00085FB8">
        <w:rPr>
          <w:szCs w:val="18"/>
        </w:rPr>
        <w:t xml:space="preserve"> 2019 kan worden geconcludeerd dat deze extra middelen de regionale samenwerking hebben gestimuleerd en de kwaliteit van </w:t>
      </w:r>
      <w:r w:rsidR="006136D7">
        <w:rPr>
          <w:szCs w:val="18"/>
        </w:rPr>
        <w:t>de samenwerking in positieve zi</w:t>
      </w:r>
      <w:r w:rsidRPr="00085FB8">
        <w:rPr>
          <w:szCs w:val="18"/>
        </w:rPr>
        <w:t>n hebben beïnvloed. Ook zijn initiatieven gestart die zonder deze extra middelen niet mogelijk waren geweest. Verduurzaming van de samenwerking blijft een punt van aandacht</w:t>
      </w:r>
      <w:r w:rsidR="006136D7">
        <w:rPr>
          <w:szCs w:val="18"/>
        </w:rPr>
        <w:t xml:space="preserve"> voor de komende periode.</w:t>
      </w:r>
    </w:p>
    <w:p w14:paraId="6AD5E0CC" w14:textId="77777777" w:rsidR="00E43A91" w:rsidRDefault="00E43A91" w:rsidP="003A320F">
      <w:pPr>
        <w:rPr>
          <w:szCs w:val="18"/>
        </w:rPr>
      </w:pPr>
    </w:p>
    <w:p w14:paraId="2A1DDC5C" w14:textId="77777777" w:rsidR="00E43A91" w:rsidRPr="006136D7" w:rsidRDefault="006136D7" w:rsidP="003A320F">
      <w:pPr>
        <w:rPr>
          <w:i/>
          <w:szCs w:val="18"/>
        </w:rPr>
      </w:pPr>
      <w:r>
        <w:rPr>
          <w:i/>
          <w:szCs w:val="18"/>
        </w:rPr>
        <w:t>Students4Students (</w:t>
      </w:r>
      <w:r w:rsidR="00E43A91" w:rsidRPr="006136D7">
        <w:rPr>
          <w:i/>
          <w:szCs w:val="18"/>
        </w:rPr>
        <w:t>S4S</w:t>
      </w:r>
      <w:r>
        <w:rPr>
          <w:i/>
          <w:szCs w:val="18"/>
        </w:rPr>
        <w:t>)</w:t>
      </w:r>
    </w:p>
    <w:p w14:paraId="569B8A2A" w14:textId="77777777" w:rsidR="00E43A91" w:rsidRDefault="00E43A91" w:rsidP="003A320F">
      <w:r>
        <w:t>Met de studievoorschotmiddelen w</w:t>
      </w:r>
      <w:r w:rsidR="00D60941">
        <w:t>ordt de c</w:t>
      </w:r>
      <w:r>
        <w:t>ampagne-</w:t>
      </w:r>
      <w:r w:rsidR="00D60941">
        <w:t xml:space="preserve">Students4Students (-S4S) </w:t>
      </w:r>
      <w:r>
        <w:t xml:space="preserve">bekostigd. </w:t>
      </w:r>
      <w:r w:rsidR="00174059">
        <w:t xml:space="preserve">In de periode 2017-2021 gaat om in totaal € 5 miljoen. </w:t>
      </w:r>
      <w:r>
        <w:t>Met deze campagne worden zowel studenten als professionals in het hoger onderwijs uitgedaagd initiatieven te ontwikkelen die bijdragen aan het creëren van inclusief onderwijs en gelijke kansen voor álle studenten. In de S4S-</w:t>
      </w:r>
      <w:r w:rsidR="00D60941">
        <w:t>c</w:t>
      </w:r>
      <w:r>
        <w:t xml:space="preserve">ampagne staat ‘support’ </w:t>
      </w:r>
      <w:r w:rsidRPr="0055765A">
        <w:rPr>
          <w:i/>
        </w:rPr>
        <w:t>voor</w:t>
      </w:r>
      <w:r>
        <w:t xml:space="preserve"> studenten, </w:t>
      </w:r>
      <w:r w:rsidRPr="0055765A">
        <w:rPr>
          <w:i/>
        </w:rPr>
        <w:t>door</w:t>
      </w:r>
      <w:r>
        <w:t xml:space="preserve"> studenten centraal.</w:t>
      </w:r>
    </w:p>
    <w:p w14:paraId="281057CF" w14:textId="77777777" w:rsidR="006B608C" w:rsidRDefault="006B608C">
      <w:pPr>
        <w:spacing w:line="240" w:lineRule="auto"/>
      </w:pPr>
      <w:r>
        <w:br w:type="page"/>
      </w:r>
    </w:p>
    <w:p w14:paraId="16055EEB" w14:textId="77777777" w:rsidR="00E43A91" w:rsidRDefault="00E43A91" w:rsidP="003A320F">
      <w:r>
        <w:lastRenderedPageBreak/>
        <w:t xml:space="preserve">Doel is bij te dragen aan een inclusieve samenleving, waarin iedereen ongeacht afkomst het beste uit zichzelf kan halen. Bij docenten en studenten ontstaat meer bewustwording van en begrip voor verschillende belevingswerelden. De campagne draagt verder bij aan betere doorstroom en aansluiting in het hoger onderwijs. De kracht van de S4S-projecten is dat de meeste projecten inzetten op inclusie door middel van het vergroten van een ‘sense of </w:t>
      </w:r>
      <w:proofErr w:type="spellStart"/>
      <w:r>
        <w:t>belonging</w:t>
      </w:r>
      <w:proofErr w:type="spellEnd"/>
      <w:r>
        <w:t>’ en verbetering van studiesucces voor studenten vanuit een interdisciplinair perspectief</w:t>
      </w:r>
      <w:r w:rsidR="003A320F">
        <w:t>.</w:t>
      </w:r>
    </w:p>
    <w:p w14:paraId="6717121E" w14:textId="77777777" w:rsidR="00940C5B" w:rsidRDefault="00940C5B" w:rsidP="003A320F">
      <w:pPr>
        <w:rPr>
          <w:szCs w:val="18"/>
        </w:rPr>
      </w:pPr>
    </w:p>
    <w:p w14:paraId="7B1F044D" w14:textId="77777777" w:rsidR="006B608C" w:rsidRDefault="006B608C" w:rsidP="003A320F">
      <w:pPr>
        <w:rPr>
          <w:szCs w:val="18"/>
        </w:rPr>
      </w:pPr>
    </w:p>
    <w:p w14:paraId="6FF50464" w14:textId="77777777" w:rsidR="00EF135E" w:rsidRPr="00DC7B89" w:rsidRDefault="00A956E4" w:rsidP="003A320F">
      <w:pPr>
        <w:rPr>
          <w:szCs w:val="18"/>
        </w:rPr>
      </w:pPr>
      <w:r w:rsidRPr="00DC7B89">
        <w:rPr>
          <w:szCs w:val="18"/>
        </w:rPr>
        <w:t>de minister van Onderwijs, Cultuur en Wetenschap,</w:t>
      </w:r>
    </w:p>
    <w:p w14:paraId="25B66B70" w14:textId="77777777" w:rsidR="00EF135E" w:rsidRPr="00DC7B89" w:rsidRDefault="00EF135E" w:rsidP="003A320F">
      <w:pPr>
        <w:rPr>
          <w:szCs w:val="18"/>
        </w:rPr>
      </w:pPr>
    </w:p>
    <w:p w14:paraId="62446BF2" w14:textId="77777777" w:rsidR="00EF135E" w:rsidRPr="00DC7B89" w:rsidRDefault="00EF135E" w:rsidP="003A320F">
      <w:pPr>
        <w:rPr>
          <w:szCs w:val="18"/>
        </w:rPr>
      </w:pPr>
    </w:p>
    <w:p w14:paraId="75EE0EF5" w14:textId="77777777" w:rsidR="00EF135E" w:rsidRDefault="00EF135E" w:rsidP="003A320F">
      <w:pPr>
        <w:rPr>
          <w:szCs w:val="18"/>
        </w:rPr>
      </w:pPr>
    </w:p>
    <w:p w14:paraId="48C0CA5C" w14:textId="77777777" w:rsidR="00372D19" w:rsidRDefault="00372D19" w:rsidP="003A320F">
      <w:pPr>
        <w:rPr>
          <w:szCs w:val="18"/>
        </w:rPr>
      </w:pPr>
    </w:p>
    <w:p w14:paraId="272000EB" w14:textId="77777777" w:rsidR="00372D19" w:rsidRDefault="00372D19" w:rsidP="003A320F">
      <w:pPr>
        <w:rPr>
          <w:szCs w:val="18"/>
        </w:rPr>
      </w:pPr>
    </w:p>
    <w:p w14:paraId="11CFF484" w14:textId="77777777" w:rsidR="00372D19" w:rsidRDefault="00A956E4" w:rsidP="00372D19">
      <w:pPr>
        <w:pStyle w:val="standaard-tekst"/>
        <w:spacing w:line="240" w:lineRule="atLeast"/>
        <w:rPr>
          <w:szCs w:val="18"/>
        </w:rPr>
      </w:pPr>
      <w:r w:rsidRPr="00DC7B89">
        <w:rPr>
          <w:sz w:val="18"/>
          <w:szCs w:val="18"/>
        </w:rPr>
        <w:t xml:space="preserve">Ingrid van </w:t>
      </w:r>
      <w:proofErr w:type="spellStart"/>
      <w:r w:rsidRPr="00DC7B89">
        <w:rPr>
          <w:sz w:val="18"/>
          <w:szCs w:val="18"/>
        </w:rPr>
        <w:t>Engelshoven</w:t>
      </w:r>
      <w:proofErr w:type="spellEnd"/>
      <w:r w:rsidR="00372D19">
        <w:rPr>
          <w:szCs w:val="18"/>
        </w:rPr>
        <w:br w:type="page"/>
      </w:r>
    </w:p>
    <w:p w14:paraId="71E427D1" w14:textId="77777777" w:rsidR="009F55AC" w:rsidRPr="005D430D" w:rsidRDefault="005D430D" w:rsidP="003A320F">
      <w:pPr>
        <w:rPr>
          <w:b/>
          <w:szCs w:val="18"/>
          <w:u w:val="single"/>
        </w:rPr>
      </w:pPr>
      <w:r>
        <w:rPr>
          <w:b/>
          <w:szCs w:val="18"/>
          <w:u w:val="single"/>
        </w:rPr>
        <w:lastRenderedPageBreak/>
        <w:t>Bijlage</w:t>
      </w:r>
    </w:p>
    <w:p w14:paraId="58D88226" w14:textId="77777777" w:rsidR="00F276D5" w:rsidRDefault="00F276D5" w:rsidP="003A320F">
      <w:pPr>
        <w:rPr>
          <w:szCs w:val="18"/>
        </w:rPr>
      </w:pPr>
    </w:p>
    <w:p w14:paraId="0505C426" w14:textId="77777777" w:rsidR="00945E3B" w:rsidRDefault="00945E3B" w:rsidP="00945E3B">
      <w:pPr>
        <w:ind w:left="720" w:hanging="720"/>
        <w:rPr>
          <w:szCs w:val="18"/>
        </w:rPr>
      </w:pPr>
      <w:r>
        <w:rPr>
          <w:szCs w:val="18"/>
        </w:rPr>
        <w:t>Tabel 1: verdeling studievoorschotmiddelen, stand begroting 2020</w:t>
      </w:r>
    </w:p>
    <w:p w14:paraId="49429F33" w14:textId="77777777" w:rsidR="00945E3B" w:rsidRPr="00A34E7E" w:rsidRDefault="00945E3B" w:rsidP="00945E3B">
      <w:pPr>
        <w:ind w:left="720" w:hanging="720"/>
        <w:rPr>
          <w:szCs w:val="18"/>
        </w:rPr>
      </w:pPr>
    </w:p>
    <w:tbl>
      <w:tblPr>
        <w:tblW w:w="9072" w:type="dxa"/>
        <w:tblInd w:w="70" w:type="dxa"/>
        <w:tblCellMar>
          <w:left w:w="70" w:type="dxa"/>
          <w:right w:w="70" w:type="dxa"/>
        </w:tblCellMar>
        <w:tblLook w:val="04A0" w:firstRow="1" w:lastRow="0" w:firstColumn="1" w:lastColumn="0" w:noHBand="0" w:noVBand="1"/>
      </w:tblPr>
      <w:tblGrid>
        <w:gridCol w:w="4309"/>
        <w:gridCol w:w="728"/>
        <w:gridCol w:w="787"/>
        <w:gridCol w:w="748"/>
        <w:gridCol w:w="787"/>
        <w:gridCol w:w="866"/>
        <w:gridCol w:w="847"/>
      </w:tblGrid>
      <w:tr w:rsidR="00945E3B" w:rsidRPr="000F22FA" w14:paraId="38F4D4CF" w14:textId="77777777" w:rsidTr="00232640">
        <w:trPr>
          <w:trHeight w:val="255"/>
        </w:trPr>
        <w:tc>
          <w:tcPr>
            <w:tcW w:w="4309" w:type="dxa"/>
            <w:tcBorders>
              <w:top w:val="single" w:sz="4" w:space="0" w:color="auto"/>
              <w:left w:val="nil"/>
              <w:bottom w:val="single" w:sz="4" w:space="0" w:color="auto"/>
              <w:right w:val="nil"/>
            </w:tcBorders>
            <w:shd w:val="clear" w:color="auto" w:fill="auto"/>
            <w:noWrap/>
            <w:vAlign w:val="bottom"/>
            <w:hideMark/>
          </w:tcPr>
          <w:p w14:paraId="1BE2469D" w14:textId="77777777" w:rsidR="00945E3B" w:rsidRPr="000F22FA" w:rsidRDefault="00945E3B" w:rsidP="00232640">
            <w:pPr>
              <w:spacing w:line="240" w:lineRule="auto"/>
              <w:rPr>
                <w:color w:val="000000"/>
                <w:sz w:val="20"/>
                <w:szCs w:val="20"/>
              </w:rPr>
            </w:pPr>
            <w:r w:rsidRPr="000F22FA">
              <w:rPr>
                <w:color w:val="000000"/>
                <w:sz w:val="20"/>
                <w:szCs w:val="20"/>
              </w:rPr>
              <w:t>HBO (artikel 6)</w:t>
            </w:r>
          </w:p>
        </w:tc>
        <w:tc>
          <w:tcPr>
            <w:tcW w:w="728" w:type="dxa"/>
            <w:tcBorders>
              <w:top w:val="single" w:sz="4" w:space="0" w:color="auto"/>
              <w:left w:val="nil"/>
              <w:bottom w:val="single" w:sz="4" w:space="0" w:color="auto"/>
              <w:right w:val="nil"/>
            </w:tcBorders>
            <w:shd w:val="clear" w:color="auto" w:fill="auto"/>
            <w:noWrap/>
            <w:vAlign w:val="bottom"/>
            <w:hideMark/>
          </w:tcPr>
          <w:p w14:paraId="52BBBBC4" w14:textId="77777777" w:rsidR="00945E3B" w:rsidRPr="000F22FA" w:rsidRDefault="00945E3B" w:rsidP="00232640">
            <w:pPr>
              <w:spacing w:line="240" w:lineRule="auto"/>
              <w:jc w:val="right"/>
              <w:rPr>
                <w:color w:val="000000"/>
                <w:sz w:val="20"/>
                <w:szCs w:val="20"/>
              </w:rPr>
            </w:pPr>
            <w:r w:rsidRPr="000F22FA">
              <w:rPr>
                <w:color w:val="000000"/>
                <w:sz w:val="20"/>
                <w:szCs w:val="20"/>
              </w:rPr>
              <w:t>2019</w:t>
            </w:r>
          </w:p>
        </w:tc>
        <w:tc>
          <w:tcPr>
            <w:tcW w:w="787" w:type="dxa"/>
            <w:tcBorders>
              <w:top w:val="single" w:sz="4" w:space="0" w:color="auto"/>
              <w:left w:val="nil"/>
              <w:bottom w:val="single" w:sz="4" w:space="0" w:color="auto"/>
              <w:right w:val="nil"/>
            </w:tcBorders>
            <w:shd w:val="clear" w:color="auto" w:fill="auto"/>
            <w:noWrap/>
            <w:vAlign w:val="bottom"/>
            <w:hideMark/>
          </w:tcPr>
          <w:p w14:paraId="071F3A07" w14:textId="77777777" w:rsidR="00945E3B" w:rsidRPr="000F22FA" w:rsidRDefault="00945E3B" w:rsidP="00232640">
            <w:pPr>
              <w:spacing w:line="240" w:lineRule="auto"/>
              <w:jc w:val="right"/>
              <w:rPr>
                <w:color w:val="000000"/>
                <w:sz w:val="20"/>
                <w:szCs w:val="20"/>
              </w:rPr>
            </w:pPr>
            <w:r w:rsidRPr="000F22FA">
              <w:rPr>
                <w:color w:val="000000"/>
                <w:sz w:val="20"/>
                <w:szCs w:val="20"/>
              </w:rPr>
              <w:t>2020</w:t>
            </w:r>
          </w:p>
        </w:tc>
        <w:tc>
          <w:tcPr>
            <w:tcW w:w="748" w:type="dxa"/>
            <w:tcBorders>
              <w:top w:val="single" w:sz="4" w:space="0" w:color="auto"/>
              <w:left w:val="nil"/>
              <w:bottom w:val="single" w:sz="4" w:space="0" w:color="auto"/>
              <w:right w:val="nil"/>
            </w:tcBorders>
            <w:shd w:val="clear" w:color="auto" w:fill="auto"/>
            <w:noWrap/>
            <w:vAlign w:val="bottom"/>
            <w:hideMark/>
          </w:tcPr>
          <w:p w14:paraId="5401E0A1" w14:textId="77777777" w:rsidR="00945E3B" w:rsidRPr="000F22FA" w:rsidRDefault="00945E3B" w:rsidP="00232640">
            <w:pPr>
              <w:spacing w:line="240" w:lineRule="auto"/>
              <w:jc w:val="right"/>
              <w:rPr>
                <w:color w:val="000000"/>
                <w:sz w:val="20"/>
                <w:szCs w:val="20"/>
              </w:rPr>
            </w:pPr>
            <w:r w:rsidRPr="000F22FA">
              <w:rPr>
                <w:color w:val="000000"/>
                <w:sz w:val="20"/>
                <w:szCs w:val="20"/>
              </w:rPr>
              <w:t>2021</w:t>
            </w:r>
          </w:p>
        </w:tc>
        <w:tc>
          <w:tcPr>
            <w:tcW w:w="787" w:type="dxa"/>
            <w:tcBorders>
              <w:top w:val="single" w:sz="4" w:space="0" w:color="auto"/>
              <w:left w:val="nil"/>
              <w:bottom w:val="single" w:sz="4" w:space="0" w:color="auto"/>
              <w:right w:val="nil"/>
            </w:tcBorders>
            <w:shd w:val="clear" w:color="auto" w:fill="auto"/>
            <w:noWrap/>
            <w:vAlign w:val="bottom"/>
            <w:hideMark/>
          </w:tcPr>
          <w:p w14:paraId="67136245" w14:textId="77777777" w:rsidR="00945E3B" w:rsidRPr="000F22FA" w:rsidRDefault="00945E3B" w:rsidP="00232640">
            <w:pPr>
              <w:spacing w:line="240" w:lineRule="auto"/>
              <w:jc w:val="right"/>
              <w:rPr>
                <w:color w:val="000000"/>
                <w:sz w:val="20"/>
                <w:szCs w:val="20"/>
              </w:rPr>
            </w:pPr>
            <w:r w:rsidRPr="000F22FA">
              <w:rPr>
                <w:color w:val="000000"/>
                <w:sz w:val="20"/>
                <w:szCs w:val="20"/>
              </w:rPr>
              <w:t>2022</w:t>
            </w:r>
          </w:p>
        </w:tc>
        <w:tc>
          <w:tcPr>
            <w:tcW w:w="866" w:type="dxa"/>
            <w:tcBorders>
              <w:top w:val="single" w:sz="4" w:space="0" w:color="auto"/>
              <w:left w:val="nil"/>
              <w:bottom w:val="single" w:sz="4" w:space="0" w:color="auto"/>
              <w:right w:val="nil"/>
            </w:tcBorders>
            <w:shd w:val="clear" w:color="auto" w:fill="auto"/>
            <w:noWrap/>
            <w:vAlign w:val="bottom"/>
            <w:hideMark/>
          </w:tcPr>
          <w:p w14:paraId="6DADCC7A" w14:textId="77777777" w:rsidR="00945E3B" w:rsidRPr="000F22FA" w:rsidRDefault="00945E3B" w:rsidP="00232640">
            <w:pPr>
              <w:spacing w:line="240" w:lineRule="auto"/>
              <w:jc w:val="right"/>
              <w:rPr>
                <w:color w:val="000000"/>
                <w:sz w:val="20"/>
                <w:szCs w:val="20"/>
              </w:rPr>
            </w:pPr>
            <w:r w:rsidRPr="000F22FA">
              <w:rPr>
                <w:color w:val="000000"/>
                <w:sz w:val="20"/>
                <w:szCs w:val="20"/>
              </w:rPr>
              <w:t>2023</w:t>
            </w:r>
          </w:p>
        </w:tc>
        <w:tc>
          <w:tcPr>
            <w:tcW w:w="847" w:type="dxa"/>
            <w:tcBorders>
              <w:top w:val="single" w:sz="4" w:space="0" w:color="auto"/>
              <w:left w:val="nil"/>
              <w:bottom w:val="single" w:sz="4" w:space="0" w:color="auto"/>
              <w:right w:val="nil"/>
            </w:tcBorders>
            <w:shd w:val="clear" w:color="auto" w:fill="auto"/>
            <w:noWrap/>
            <w:vAlign w:val="bottom"/>
            <w:hideMark/>
          </w:tcPr>
          <w:p w14:paraId="3F8A553D" w14:textId="77777777" w:rsidR="00945E3B" w:rsidRPr="000F22FA" w:rsidRDefault="00945E3B" w:rsidP="00232640">
            <w:pPr>
              <w:spacing w:line="240" w:lineRule="auto"/>
              <w:jc w:val="right"/>
              <w:rPr>
                <w:color w:val="000000"/>
                <w:sz w:val="20"/>
                <w:szCs w:val="20"/>
              </w:rPr>
            </w:pPr>
            <w:r w:rsidRPr="000F22FA">
              <w:rPr>
                <w:color w:val="000000"/>
                <w:sz w:val="20"/>
                <w:szCs w:val="20"/>
              </w:rPr>
              <w:t>2024</w:t>
            </w:r>
          </w:p>
        </w:tc>
      </w:tr>
      <w:tr w:rsidR="00945E3B" w:rsidRPr="000F22FA" w14:paraId="73922B11" w14:textId="77777777" w:rsidTr="00232640">
        <w:trPr>
          <w:trHeight w:val="255"/>
        </w:trPr>
        <w:tc>
          <w:tcPr>
            <w:tcW w:w="4309" w:type="dxa"/>
            <w:tcBorders>
              <w:top w:val="nil"/>
              <w:left w:val="nil"/>
              <w:bottom w:val="nil"/>
              <w:right w:val="nil"/>
            </w:tcBorders>
            <w:shd w:val="clear" w:color="auto" w:fill="auto"/>
            <w:noWrap/>
            <w:vAlign w:val="bottom"/>
            <w:hideMark/>
          </w:tcPr>
          <w:p w14:paraId="2394E643" w14:textId="77777777" w:rsidR="00945E3B" w:rsidRPr="000F22FA" w:rsidRDefault="00945E3B" w:rsidP="00232640">
            <w:pPr>
              <w:spacing w:line="240" w:lineRule="auto"/>
              <w:rPr>
                <w:color w:val="000000"/>
                <w:sz w:val="20"/>
                <w:szCs w:val="20"/>
              </w:rPr>
            </w:pPr>
            <w:r w:rsidRPr="000F22FA">
              <w:rPr>
                <w:color w:val="000000"/>
                <w:sz w:val="20"/>
                <w:szCs w:val="20"/>
              </w:rPr>
              <w:t>1 Kwaliteitsafspraken</w:t>
            </w:r>
          </w:p>
        </w:tc>
        <w:tc>
          <w:tcPr>
            <w:tcW w:w="728" w:type="dxa"/>
            <w:tcBorders>
              <w:top w:val="nil"/>
              <w:left w:val="nil"/>
              <w:bottom w:val="nil"/>
              <w:right w:val="nil"/>
            </w:tcBorders>
            <w:shd w:val="clear" w:color="auto" w:fill="auto"/>
            <w:noWrap/>
            <w:vAlign w:val="bottom"/>
            <w:hideMark/>
          </w:tcPr>
          <w:p w14:paraId="225262BF" w14:textId="77777777" w:rsidR="00945E3B" w:rsidRPr="000F22FA" w:rsidRDefault="00945E3B" w:rsidP="00232640">
            <w:pPr>
              <w:spacing w:line="240" w:lineRule="auto"/>
              <w:jc w:val="right"/>
              <w:rPr>
                <w:color w:val="000000"/>
                <w:sz w:val="20"/>
                <w:szCs w:val="20"/>
              </w:rPr>
            </w:pPr>
            <w:r w:rsidRPr="000F22FA">
              <w:rPr>
                <w:color w:val="000000"/>
                <w:sz w:val="20"/>
                <w:szCs w:val="20"/>
              </w:rPr>
              <w:t>120</w:t>
            </w:r>
          </w:p>
        </w:tc>
        <w:tc>
          <w:tcPr>
            <w:tcW w:w="787" w:type="dxa"/>
            <w:tcBorders>
              <w:top w:val="nil"/>
              <w:left w:val="nil"/>
              <w:bottom w:val="nil"/>
              <w:right w:val="nil"/>
            </w:tcBorders>
            <w:shd w:val="clear" w:color="auto" w:fill="auto"/>
            <w:noWrap/>
            <w:vAlign w:val="bottom"/>
            <w:hideMark/>
          </w:tcPr>
          <w:p w14:paraId="4DA2FB06" w14:textId="77777777" w:rsidR="00945E3B" w:rsidRPr="000F22FA" w:rsidRDefault="00945E3B" w:rsidP="00232640">
            <w:pPr>
              <w:spacing w:line="240" w:lineRule="auto"/>
              <w:jc w:val="right"/>
              <w:rPr>
                <w:color w:val="000000"/>
                <w:sz w:val="20"/>
                <w:szCs w:val="20"/>
              </w:rPr>
            </w:pPr>
            <w:r w:rsidRPr="000F22FA">
              <w:rPr>
                <w:color w:val="000000"/>
                <w:sz w:val="20"/>
                <w:szCs w:val="20"/>
              </w:rPr>
              <w:t>141</w:t>
            </w:r>
          </w:p>
        </w:tc>
        <w:tc>
          <w:tcPr>
            <w:tcW w:w="748" w:type="dxa"/>
            <w:tcBorders>
              <w:top w:val="nil"/>
              <w:left w:val="nil"/>
              <w:bottom w:val="nil"/>
              <w:right w:val="nil"/>
            </w:tcBorders>
            <w:shd w:val="clear" w:color="auto" w:fill="auto"/>
            <w:noWrap/>
            <w:vAlign w:val="bottom"/>
            <w:hideMark/>
          </w:tcPr>
          <w:p w14:paraId="0084F385" w14:textId="77777777" w:rsidR="00945E3B" w:rsidRPr="000F22FA" w:rsidRDefault="00945E3B" w:rsidP="00232640">
            <w:pPr>
              <w:spacing w:line="240" w:lineRule="auto"/>
              <w:jc w:val="right"/>
              <w:rPr>
                <w:color w:val="000000"/>
                <w:sz w:val="20"/>
                <w:szCs w:val="20"/>
              </w:rPr>
            </w:pPr>
            <w:r w:rsidRPr="000F22FA">
              <w:rPr>
                <w:color w:val="000000"/>
                <w:sz w:val="20"/>
                <w:szCs w:val="20"/>
              </w:rPr>
              <w:t>239</w:t>
            </w:r>
          </w:p>
        </w:tc>
        <w:tc>
          <w:tcPr>
            <w:tcW w:w="787" w:type="dxa"/>
            <w:tcBorders>
              <w:top w:val="nil"/>
              <w:left w:val="nil"/>
              <w:bottom w:val="nil"/>
              <w:right w:val="nil"/>
            </w:tcBorders>
            <w:shd w:val="clear" w:color="auto" w:fill="auto"/>
            <w:noWrap/>
            <w:vAlign w:val="bottom"/>
            <w:hideMark/>
          </w:tcPr>
          <w:p w14:paraId="077EDCBC" w14:textId="77777777" w:rsidR="00945E3B" w:rsidRPr="000F22FA" w:rsidRDefault="00945E3B" w:rsidP="00232640">
            <w:pPr>
              <w:spacing w:line="240" w:lineRule="auto"/>
              <w:jc w:val="right"/>
              <w:rPr>
                <w:color w:val="000000"/>
                <w:sz w:val="20"/>
                <w:szCs w:val="20"/>
              </w:rPr>
            </w:pPr>
            <w:r w:rsidRPr="000F22FA">
              <w:rPr>
                <w:color w:val="000000"/>
                <w:sz w:val="20"/>
                <w:szCs w:val="20"/>
              </w:rPr>
              <w:t>299</w:t>
            </w:r>
          </w:p>
        </w:tc>
        <w:tc>
          <w:tcPr>
            <w:tcW w:w="866" w:type="dxa"/>
            <w:tcBorders>
              <w:top w:val="nil"/>
              <w:left w:val="nil"/>
              <w:bottom w:val="nil"/>
              <w:right w:val="nil"/>
            </w:tcBorders>
            <w:shd w:val="clear" w:color="auto" w:fill="auto"/>
            <w:noWrap/>
            <w:vAlign w:val="bottom"/>
            <w:hideMark/>
          </w:tcPr>
          <w:p w14:paraId="28E6BA3E" w14:textId="77777777" w:rsidR="00945E3B" w:rsidRPr="000F22FA" w:rsidRDefault="00945E3B" w:rsidP="00232640">
            <w:pPr>
              <w:spacing w:line="240" w:lineRule="auto"/>
              <w:jc w:val="right"/>
              <w:rPr>
                <w:color w:val="000000"/>
                <w:sz w:val="20"/>
                <w:szCs w:val="20"/>
              </w:rPr>
            </w:pPr>
            <w:r w:rsidRPr="000F22FA">
              <w:rPr>
                <w:color w:val="000000"/>
                <w:sz w:val="20"/>
                <w:szCs w:val="20"/>
              </w:rPr>
              <w:t>315</w:t>
            </w:r>
          </w:p>
        </w:tc>
        <w:tc>
          <w:tcPr>
            <w:tcW w:w="847" w:type="dxa"/>
            <w:tcBorders>
              <w:top w:val="nil"/>
              <w:left w:val="nil"/>
              <w:bottom w:val="nil"/>
              <w:right w:val="nil"/>
            </w:tcBorders>
            <w:shd w:val="clear" w:color="auto" w:fill="auto"/>
            <w:noWrap/>
            <w:vAlign w:val="bottom"/>
            <w:hideMark/>
          </w:tcPr>
          <w:p w14:paraId="3683A65E" w14:textId="77777777" w:rsidR="00945E3B" w:rsidRPr="000F22FA" w:rsidRDefault="00945E3B" w:rsidP="00232640">
            <w:pPr>
              <w:spacing w:line="240" w:lineRule="auto"/>
              <w:jc w:val="right"/>
              <w:rPr>
                <w:color w:val="000000"/>
                <w:sz w:val="20"/>
                <w:szCs w:val="20"/>
              </w:rPr>
            </w:pPr>
            <w:r w:rsidRPr="000F22FA">
              <w:rPr>
                <w:color w:val="000000"/>
                <w:sz w:val="20"/>
                <w:szCs w:val="20"/>
              </w:rPr>
              <w:t>357</w:t>
            </w:r>
          </w:p>
        </w:tc>
      </w:tr>
      <w:tr w:rsidR="00945E3B" w:rsidRPr="000F22FA" w14:paraId="49267C1C" w14:textId="77777777" w:rsidTr="00232640">
        <w:trPr>
          <w:trHeight w:val="255"/>
        </w:trPr>
        <w:tc>
          <w:tcPr>
            <w:tcW w:w="4309" w:type="dxa"/>
            <w:tcBorders>
              <w:top w:val="nil"/>
              <w:left w:val="nil"/>
              <w:bottom w:val="nil"/>
              <w:right w:val="nil"/>
            </w:tcBorders>
            <w:shd w:val="clear" w:color="auto" w:fill="auto"/>
            <w:noWrap/>
            <w:vAlign w:val="bottom"/>
            <w:hideMark/>
          </w:tcPr>
          <w:p w14:paraId="498B1546" w14:textId="77777777" w:rsidR="00945E3B" w:rsidRPr="000F22FA" w:rsidRDefault="00945E3B" w:rsidP="00232640">
            <w:pPr>
              <w:spacing w:line="240" w:lineRule="auto"/>
              <w:rPr>
                <w:color w:val="000000"/>
                <w:sz w:val="20"/>
                <w:szCs w:val="20"/>
              </w:rPr>
            </w:pPr>
            <w:r w:rsidRPr="000F22FA">
              <w:rPr>
                <w:color w:val="000000"/>
                <w:sz w:val="20"/>
                <w:szCs w:val="20"/>
              </w:rPr>
              <w:t>2 Landelijke specifieke doelstellingen</w:t>
            </w:r>
          </w:p>
        </w:tc>
        <w:tc>
          <w:tcPr>
            <w:tcW w:w="728" w:type="dxa"/>
            <w:tcBorders>
              <w:top w:val="nil"/>
              <w:left w:val="nil"/>
              <w:bottom w:val="nil"/>
              <w:right w:val="nil"/>
            </w:tcBorders>
            <w:shd w:val="clear" w:color="auto" w:fill="auto"/>
            <w:noWrap/>
            <w:vAlign w:val="bottom"/>
            <w:hideMark/>
          </w:tcPr>
          <w:p w14:paraId="77BC000F" w14:textId="77777777" w:rsidR="00945E3B" w:rsidRPr="000F22FA" w:rsidRDefault="00945E3B" w:rsidP="00232640">
            <w:pPr>
              <w:spacing w:line="240" w:lineRule="auto"/>
              <w:jc w:val="right"/>
              <w:rPr>
                <w:color w:val="000000"/>
                <w:sz w:val="20"/>
                <w:szCs w:val="20"/>
              </w:rPr>
            </w:pPr>
            <w:r w:rsidRPr="000F22FA">
              <w:rPr>
                <w:color w:val="000000"/>
                <w:sz w:val="20"/>
                <w:szCs w:val="20"/>
              </w:rPr>
              <w:t>14</w:t>
            </w:r>
          </w:p>
        </w:tc>
        <w:tc>
          <w:tcPr>
            <w:tcW w:w="787" w:type="dxa"/>
            <w:tcBorders>
              <w:top w:val="nil"/>
              <w:left w:val="nil"/>
              <w:bottom w:val="nil"/>
              <w:right w:val="nil"/>
            </w:tcBorders>
            <w:shd w:val="clear" w:color="auto" w:fill="auto"/>
            <w:noWrap/>
            <w:vAlign w:val="bottom"/>
            <w:hideMark/>
          </w:tcPr>
          <w:p w14:paraId="025B334B" w14:textId="77777777" w:rsidR="00945E3B" w:rsidRPr="000F22FA" w:rsidRDefault="00945E3B" w:rsidP="00232640">
            <w:pPr>
              <w:spacing w:line="240" w:lineRule="auto"/>
              <w:jc w:val="right"/>
              <w:rPr>
                <w:color w:val="000000"/>
                <w:sz w:val="20"/>
                <w:szCs w:val="20"/>
              </w:rPr>
            </w:pPr>
            <w:r w:rsidRPr="000F22FA">
              <w:rPr>
                <w:color w:val="000000"/>
                <w:sz w:val="20"/>
                <w:szCs w:val="20"/>
              </w:rPr>
              <w:t>17</w:t>
            </w:r>
          </w:p>
        </w:tc>
        <w:tc>
          <w:tcPr>
            <w:tcW w:w="748" w:type="dxa"/>
            <w:tcBorders>
              <w:top w:val="nil"/>
              <w:left w:val="nil"/>
              <w:bottom w:val="nil"/>
              <w:right w:val="nil"/>
            </w:tcBorders>
            <w:shd w:val="clear" w:color="auto" w:fill="auto"/>
            <w:noWrap/>
            <w:vAlign w:val="bottom"/>
            <w:hideMark/>
          </w:tcPr>
          <w:p w14:paraId="7FCB70D3" w14:textId="77777777" w:rsidR="00945E3B" w:rsidRPr="000F22FA" w:rsidRDefault="00945E3B" w:rsidP="00232640">
            <w:pPr>
              <w:spacing w:line="240" w:lineRule="auto"/>
              <w:jc w:val="right"/>
              <w:rPr>
                <w:color w:val="000000"/>
                <w:sz w:val="20"/>
                <w:szCs w:val="20"/>
              </w:rPr>
            </w:pPr>
            <w:r w:rsidRPr="000F22FA">
              <w:rPr>
                <w:color w:val="000000"/>
                <w:sz w:val="20"/>
                <w:szCs w:val="20"/>
              </w:rPr>
              <w:t>25</w:t>
            </w:r>
          </w:p>
        </w:tc>
        <w:tc>
          <w:tcPr>
            <w:tcW w:w="787" w:type="dxa"/>
            <w:tcBorders>
              <w:top w:val="nil"/>
              <w:left w:val="nil"/>
              <w:bottom w:val="nil"/>
              <w:right w:val="nil"/>
            </w:tcBorders>
            <w:shd w:val="clear" w:color="auto" w:fill="auto"/>
            <w:noWrap/>
            <w:vAlign w:val="bottom"/>
            <w:hideMark/>
          </w:tcPr>
          <w:p w14:paraId="3AB451C8" w14:textId="77777777" w:rsidR="00945E3B" w:rsidRPr="000F22FA" w:rsidRDefault="00945E3B" w:rsidP="00232640">
            <w:pPr>
              <w:spacing w:line="240" w:lineRule="auto"/>
              <w:jc w:val="right"/>
              <w:rPr>
                <w:color w:val="000000"/>
                <w:sz w:val="20"/>
                <w:szCs w:val="20"/>
              </w:rPr>
            </w:pPr>
            <w:r w:rsidRPr="000F22FA">
              <w:rPr>
                <w:color w:val="000000"/>
                <w:sz w:val="20"/>
                <w:szCs w:val="20"/>
              </w:rPr>
              <w:t>31</w:t>
            </w:r>
          </w:p>
        </w:tc>
        <w:tc>
          <w:tcPr>
            <w:tcW w:w="866" w:type="dxa"/>
            <w:tcBorders>
              <w:top w:val="nil"/>
              <w:left w:val="nil"/>
              <w:bottom w:val="nil"/>
              <w:right w:val="nil"/>
            </w:tcBorders>
            <w:shd w:val="clear" w:color="auto" w:fill="auto"/>
            <w:noWrap/>
            <w:vAlign w:val="bottom"/>
            <w:hideMark/>
          </w:tcPr>
          <w:p w14:paraId="32B22B44" w14:textId="77777777" w:rsidR="00945E3B" w:rsidRPr="000F22FA" w:rsidRDefault="00945E3B" w:rsidP="00232640">
            <w:pPr>
              <w:spacing w:line="240" w:lineRule="auto"/>
              <w:jc w:val="right"/>
              <w:rPr>
                <w:color w:val="000000"/>
                <w:sz w:val="20"/>
                <w:szCs w:val="20"/>
              </w:rPr>
            </w:pPr>
            <w:r w:rsidRPr="000F22FA">
              <w:rPr>
                <w:color w:val="000000"/>
                <w:sz w:val="20"/>
                <w:szCs w:val="20"/>
              </w:rPr>
              <w:t>34</w:t>
            </w:r>
          </w:p>
        </w:tc>
        <w:tc>
          <w:tcPr>
            <w:tcW w:w="847" w:type="dxa"/>
            <w:tcBorders>
              <w:top w:val="nil"/>
              <w:left w:val="nil"/>
              <w:bottom w:val="nil"/>
              <w:right w:val="nil"/>
            </w:tcBorders>
            <w:shd w:val="clear" w:color="auto" w:fill="auto"/>
            <w:noWrap/>
            <w:vAlign w:val="bottom"/>
            <w:hideMark/>
          </w:tcPr>
          <w:p w14:paraId="78329FB9" w14:textId="77777777" w:rsidR="00945E3B" w:rsidRPr="000F22FA" w:rsidRDefault="00945E3B" w:rsidP="00232640">
            <w:pPr>
              <w:spacing w:line="240" w:lineRule="auto"/>
              <w:jc w:val="right"/>
              <w:rPr>
                <w:color w:val="000000"/>
                <w:sz w:val="20"/>
                <w:szCs w:val="20"/>
              </w:rPr>
            </w:pPr>
            <w:r w:rsidRPr="000F22FA">
              <w:rPr>
                <w:color w:val="000000"/>
                <w:sz w:val="20"/>
                <w:szCs w:val="20"/>
              </w:rPr>
              <w:t>38</w:t>
            </w:r>
          </w:p>
        </w:tc>
      </w:tr>
      <w:tr w:rsidR="00945E3B" w:rsidRPr="000F22FA" w14:paraId="495A6FEF" w14:textId="77777777" w:rsidTr="00232640">
        <w:trPr>
          <w:trHeight w:val="255"/>
        </w:trPr>
        <w:tc>
          <w:tcPr>
            <w:tcW w:w="4309" w:type="dxa"/>
            <w:tcBorders>
              <w:top w:val="nil"/>
              <w:left w:val="nil"/>
              <w:bottom w:val="nil"/>
              <w:right w:val="nil"/>
            </w:tcBorders>
            <w:shd w:val="clear" w:color="auto" w:fill="auto"/>
            <w:noWrap/>
            <w:vAlign w:val="bottom"/>
            <w:hideMark/>
          </w:tcPr>
          <w:p w14:paraId="64741A68" w14:textId="77777777" w:rsidR="00945E3B" w:rsidRPr="000F22FA" w:rsidRDefault="00945E3B" w:rsidP="00232640">
            <w:pPr>
              <w:spacing w:line="240" w:lineRule="auto"/>
              <w:rPr>
                <w:color w:val="000000"/>
                <w:sz w:val="20"/>
                <w:szCs w:val="20"/>
              </w:rPr>
            </w:pPr>
            <w:r w:rsidRPr="000F22FA">
              <w:rPr>
                <w:color w:val="000000"/>
                <w:sz w:val="20"/>
                <w:szCs w:val="20"/>
              </w:rPr>
              <w:t>3 Vouchers</w:t>
            </w:r>
          </w:p>
        </w:tc>
        <w:tc>
          <w:tcPr>
            <w:tcW w:w="728" w:type="dxa"/>
            <w:tcBorders>
              <w:top w:val="nil"/>
              <w:left w:val="nil"/>
              <w:bottom w:val="nil"/>
              <w:right w:val="nil"/>
            </w:tcBorders>
            <w:shd w:val="clear" w:color="auto" w:fill="auto"/>
            <w:noWrap/>
            <w:vAlign w:val="bottom"/>
            <w:hideMark/>
          </w:tcPr>
          <w:p w14:paraId="5525F89F" w14:textId="77777777" w:rsidR="00945E3B" w:rsidRPr="000F22FA" w:rsidRDefault="00945E3B" w:rsidP="00232640">
            <w:pPr>
              <w:spacing w:line="240" w:lineRule="auto"/>
              <w:jc w:val="right"/>
              <w:rPr>
                <w:color w:val="000000"/>
                <w:sz w:val="20"/>
                <w:szCs w:val="20"/>
              </w:rPr>
            </w:pPr>
            <w:r w:rsidRPr="000F22FA">
              <w:rPr>
                <w:color w:val="000000"/>
                <w:sz w:val="20"/>
                <w:szCs w:val="20"/>
              </w:rPr>
              <w:t>0</w:t>
            </w:r>
          </w:p>
        </w:tc>
        <w:tc>
          <w:tcPr>
            <w:tcW w:w="787" w:type="dxa"/>
            <w:tcBorders>
              <w:top w:val="nil"/>
              <w:left w:val="nil"/>
              <w:bottom w:val="nil"/>
              <w:right w:val="nil"/>
            </w:tcBorders>
            <w:shd w:val="clear" w:color="auto" w:fill="auto"/>
            <w:noWrap/>
            <w:vAlign w:val="bottom"/>
            <w:hideMark/>
          </w:tcPr>
          <w:p w14:paraId="2CBFDABB" w14:textId="77777777" w:rsidR="00945E3B" w:rsidRPr="000F22FA" w:rsidRDefault="00945E3B" w:rsidP="00232640">
            <w:pPr>
              <w:spacing w:line="240" w:lineRule="auto"/>
              <w:jc w:val="right"/>
              <w:rPr>
                <w:color w:val="000000"/>
                <w:sz w:val="20"/>
                <w:szCs w:val="20"/>
              </w:rPr>
            </w:pPr>
            <w:r w:rsidRPr="000F22FA">
              <w:rPr>
                <w:color w:val="000000"/>
                <w:sz w:val="20"/>
                <w:szCs w:val="20"/>
              </w:rPr>
              <w:t>0</w:t>
            </w:r>
          </w:p>
        </w:tc>
        <w:tc>
          <w:tcPr>
            <w:tcW w:w="748" w:type="dxa"/>
            <w:tcBorders>
              <w:top w:val="nil"/>
              <w:left w:val="nil"/>
              <w:bottom w:val="nil"/>
              <w:right w:val="nil"/>
            </w:tcBorders>
            <w:shd w:val="clear" w:color="auto" w:fill="auto"/>
            <w:noWrap/>
            <w:vAlign w:val="bottom"/>
            <w:hideMark/>
          </w:tcPr>
          <w:p w14:paraId="57371225" w14:textId="77777777" w:rsidR="00945E3B" w:rsidRPr="000F22FA" w:rsidRDefault="00945E3B" w:rsidP="00232640">
            <w:pPr>
              <w:spacing w:line="240" w:lineRule="auto"/>
              <w:jc w:val="right"/>
              <w:rPr>
                <w:color w:val="000000"/>
                <w:sz w:val="20"/>
                <w:szCs w:val="20"/>
              </w:rPr>
            </w:pPr>
            <w:r w:rsidRPr="000F22FA">
              <w:rPr>
                <w:color w:val="000000"/>
                <w:sz w:val="20"/>
                <w:szCs w:val="20"/>
              </w:rPr>
              <w:t>0</w:t>
            </w:r>
            <w:r w:rsidR="00C85F95">
              <w:rPr>
                <w:color w:val="000000"/>
                <w:sz w:val="20"/>
                <w:szCs w:val="20"/>
              </w:rPr>
              <w:t>*</w:t>
            </w:r>
          </w:p>
        </w:tc>
        <w:tc>
          <w:tcPr>
            <w:tcW w:w="787" w:type="dxa"/>
            <w:tcBorders>
              <w:top w:val="nil"/>
              <w:left w:val="nil"/>
              <w:bottom w:val="nil"/>
              <w:right w:val="nil"/>
            </w:tcBorders>
            <w:shd w:val="clear" w:color="auto" w:fill="auto"/>
            <w:noWrap/>
            <w:vAlign w:val="bottom"/>
            <w:hideMark/>
          </w:tcPr>
          <w:p w14:paraId="76C009F4" w14:textId="77777777" w:rsidR="00945E3B" w:rsidRPr="000F22FA" w:rsidRDefault="00945E3B" w:rsidP="00232640">
            <w:pPr>
              <w:spacing w:line="240" w:lineRule="auto"/>
              <w:jc w:val="right"/>
              <w:rPr>
                <w:color w:val="000000"/>
                <w:sz w:val="20"/>
                <w:szCs w:val="20"/>
              </w:rPr>
            </w:pPr>
            <w:r w:rsidRPr="000F22FA">
              <w:rPr>
                <w:color w:val="000000"/>
                <w:sz w:val="20"/>
                <w:szCs w:val="20"/>
              </w:rPr>
              <w:t>1</w:t>
            </w:r>
          </w:p>
        </w:tc>
        <w:tc>
          <w:tcPr>
            <w:tcW w:w="866" w:type="dxa"/>
            <w:tcBorders>
              <w:top w:val="nil"/>
              <w:left w:val="nil"/>
              <w:bottom w:val="nil"/>
              <w:right w:val="nil"/>
            </w:tcBorders>
            <w:shd w:val="clear" w:color="auto" w:fill="auto"/>
            <w:noWrap/>
            <w:vAlign w:val="bottom"/>
            <w:hideMark/>
          </w:tcPr>
          <w:p w14:paraId="404AC0CA" w14:textId="77777777" w:rsidR="00945E3B" w:rsidRPr="000F22FA" w:rsidRDefault="00945E3B" w:rsidP="00232640">
            <w:pPr>
              <w:spacing w:line="240" w:lineRule="auto"/>
              <w:jc w:val="right"/>
              <w:rPr>
                <w:color w:val="000000"/>
                <w:sz w:val="20"/>
                <w:szCs w:val="20"/>
              </w:rPr>
            </w:pPr>
            <w:r w:rsidRPr="000F22FA">
              <w:rPr>
                <w:color w:val="000000"/>
                <w:sz w:val="20"/>
                <w:szCs w:val="20"/>
              </w:rPr>
              <w:t>4</w:t>
            </w:r>
          </w:p>
        </w:tc>
        <w:tc>
          <w:tcPr>
            <w:tcW w:w="847" w:type="dxa"/>
            <w:tcBorders>
              <w:top w:val="nil"/>
              <w:left w:val="nil"/>
              <w:bottom w:val="nil"/>
              <w:right w:val="nil"/>
            </w:tcBorders>
            <w:shd w:val="clear" w:color="auto" w:fill="auto"/>
            <w:noWrap/>
            <w:vAlign w:val="bottom"/>
            <w:hideMark/>
          </w:tcPr>
          <w:p w14:paraId="0ED2D5A2" w14:textId="77777777" w:rsidR="00945E3B" w:rsidRPr="000F22FA" w:rsidRDefault="00945E3B" w:rsidP="00232640">
            <w:pPr>
              <w:spacing w:line="240" w:lineRule="auto"/>
              <w:jc w:val="right"/>
              <w:rPr>
                <w:color w:val="000000"/>
                <w:sz w:val="20"/>
                <w:szCs w:val="20"/>
              </w:rPr>
            </w:pPr>
            <w:r w:rsidRPr="000F22FA">
              <w:rPr>
                <w:color w:val="000000"/>
                <w:sz w:val="20"/>
                <w:szCs w:val="20"/>
              </w:rPr>
              <w:t>24</w:t>
            </w:r>
          </w:p>
        </w:tc>
      </w:tr>
      <w:tr w:rsidR="00945E3B" w:rsidRPr="000F22FA" w14:paraId="5332588C" w14:textId="77777777" w:rsidTr="00232640">
        <w:trPr>
          <w:trHeight w:val="255"/>
        </w:trPr>
        <w:tc>
          <w:tcPr>
            <w:tcW w:w="4309" w:type="dxa"/>
            <w:tcBorders>
              <w:top w:val="single" w:sz="4" w:space="0" w:color="auto"/>
              <w:left w:val="nil"/>
              <w:bottom w:val="single" w:sz="4" w:space="0" w:color="auto"/>
              <w:right w:val="nil"/>
            </w:tcBorders>
            <w:shd w:val="clear" w:color="auto" w:fill="auto"/>
            <w:noWrap/>
            <w:vAlign w:val="bottom"/>
            <w:hideMark/>
          </w:tcPr>
          <w:p w14:paraId="2D84F3A0" w14:textId="77777777" w:rsidR="00945E3B" w:rsidRPr="000F22FA" w:rsidRDefault="00945E3B" w:rsidP="00232640">
            <w:pPr>
              <w:spacing w:line="240" w:lineRule="auto"/>
              <w:rPr>
                <w:b/>
                <w:bCs/>
                <w:color w:val="000000"/>
                <w:sz w:val="20"/>
                <w:szCs w:val="20"/>
              </w:rPr>
            </w:pPr>
            <w:r w:rsidRPr="000F22FA">
              <w:rPr>
                <w:b/>
                <w:bCs/>
                <w:color w:val="000000"/>
                <w:sz w:val="20"/>
                <w:szCs w:val="20"/>
              </w:rPr>
              <w:t>Totaal HBO studievoorschotmiddelen</w:t>
            </w:r>
          </w:p>
        </w:tc>
        <w:tc>
          <w:tcPr>
            <w:tcW w:w="728" w:type="dxa"/>
            <w:tcBorders>
              <w:top w:val="single" w:sz="4" w:space="0" w:color="auto"/>
              <w:left w:val="nil"/>
              <w:bottom w:val="single" w:sz="4" w:space="0" w:color="auto"/>
              <w:right w:val="nil"/>
            </w:tcBorders>
            <w:shd w:val="clear" w:color="auto" w:fill="auto"/>
            <w:noWrap/>
            <w:vAlign w:val="bottom"/>
            <w:hideMark/>
          </w:tcPr>
          <w:p w14:paraId="608305C2" w14:textId="77777777" w:rsidR="00945E3B" w:rsidRPr="000F22FA" w:rsidRDefault="00945E3B" w:rsidP="00232640">
            <w:pPr>
              <w:spacing w:line="240" w:lineRule="auto"/>
              <w:jc w:val="right"/>
              <w:rPr>
                <w:b/>
                <w:bCs/>
                <w:color w:val="000000"/>
                <w:sz w:val="20"/>
                <w:szCs w:val="20"/>
              </w:rPr>
            </w:pPr>
            <w:r w:rsidRPr="000F22FA">
              <w:rPr>
                <w:b/>
                <w:bCs/>
                <w:color w:val="000000"/>
                <w:sz w:val="20"/>
                <w:szCs w:val="20"/>
              </w:rPr>
              <w:t>134</w:t>
            </w:r>
          </w:p>
        </w:tc>
        <w:tc>
          <w:tcPr>
            <w:tcW w:w="787" w:type="dxa"/>
            <w:tcBorders>
              <w:top w:val="single" w:sz="4" w:space="0" w:color="auto"/>
              <w:left w:val="nil"/>
              <w:bottom w:val="single" w:sz="4" w:space="0" w:color="auto"/>
              <w:right w:val="nil"/>
            </w:tcBorders>
            <w:shd w:val="clear" w:color="auto" w:fill="auto"/>
            <w:noWrap/>
            <w:vAlign w:val="bottom"/>
            <w:hideMark/>
          </w:tcPr>
          <w:p w14:paraId="1D80CC01" w14:textId="77777777" w:rsidR="00945E3B" w:rsidRPr="000F22FA" w:rsidRDefault="00945E3B" w:rsidP="00232640">
            <w:pPr>
              <w:spacing w:line="240" w:lineRule="auto"/>
              <w:jc w:val="right"/>
              <w:rPr>
                <w:b/>
                <w:bCs/>
                <w:color w:val="000000"/>
                <w:sz w:val="20"/>
                <w:szCs w:val="20"/>
              </w:rPr>
            </w:pPr>
            <w:r w:rsidRPr="000F22FA">
              <w:rPr>
                <w:b/>
                <w:bCs/>
                <w:color w:val="000000"/>
                <w:sz w:val="20"/>
                <w:szCs w:val="20"/>
              </w:rPr>
              <w:t>157</w:t>
            </w:r>
          </w:p>
        </w:tc>
        <w:tc>
          <w:tcPr>
            <w:tcW w:w="748" w:type="dxa"/>
            <w:tcBorders>
              <w:top w:val="single" w:sz="4" w:space="0" w:color="auto"/>
              <w:left w:val="nil"/>
              <w:bottom w:val="single" w:sz="4" w:space="0" w:color="auto"/>
              <w:right w:val="nil"/>
            </w:tcBorders>
            <w:shd w:val="clear" w:color="auto" w:fill="auto"/>
            <w:noWrap/>
            <w:vAlign w:val="bottom"/>
            <w:hideMark/>
          </w:tcPr>
          <w:p w14:paraId="711F04BF" w14:textId="77777777" w:rsidR="00945E3B" w:rsidRPr="000F22FA" w:rsidRDefault="00945E3B" w:rsidP="00232640">
            <w:pPr>
              <w:spacing w:line="240" w:lineRule="auto"/>
              <w:jc w:val="right"/>
              <w:rPr>
                <w:b/>
                <w:bCs/>
                <w:color w:val="000000"/>
                <w:sz w:val="20"/>
                <w:szCs w:val="20"/>
              </w:rPr>
            </w:pPr>
            <w:r w:rsidRPr="000F22FA">
              <w:rPr>
                <w:b/>
                <w:bCs/>
                <w:color w:val="000000"/>
                <w:sz w:val="20"/>
                <w:szCs w:val="20"/>
              </w:rPr>
              <w:t>264</w:t>
            </w:r>
          </w:p>
        </w:tc>
        <w:tc>
          <w:tcPr>
            <w:tcW w:w="787" w:type="dxa"/>
            <w:tcBorders>
              <w:top w:val="single" w:sz="4" w:space="0" w:color="auto"/>
              <w:left w:val="nil"/>
              <w:bottom w:val="single" w:sz="4" w:space="0" w:color="auto"/>
              <w:right w:val="nil"/>
            </w:tcBorders>
            <w:shd w:val="clear" w:color="auto" w:fill="auto"/>
            <w:noWrap/>
            <w:vAlign w:val="bottom"/>
            <w:hideMark/>
          </w:tcPr>
          <w:p w14:paraId="4E06110A" w14:textId="77777777" w:rsidR="00945E3B" w:rsidRPr="000F22FA" w:rsidRDefault="00945E3B" w:rsidP="00232640">
            <w:pPr>
              <w:spacing w:line="240" w:lineRule="auto"/>
              <w:jc w:val="right"/>
              <w:rPr>
                <w:b/>
                <w:bCs/>
                <w:color w:val="000000"/>
                <w:sz w:val="20"/>
                <w:szCs w:val="20"/>
              </w:rPr>
            </w:pPr>
            <w:r w:rsidRPr="000F22FA">
              <w:rPr>
                <w:b/>
                <w:bCs/>
                <w:color w:val="000000"/>
                <w:sz w:val="20"/>
                <w:szCs w:val="20"/>
              </w:rPr>
              <w:t>331</w:t>
            </w:r>
          </w:p>
        </w:tc>
        <w:tc>
          <w:tcPr>
            <w:tcW w:w="866" w:type="dxa"/>
            <w:tcBorders>
              <w:top w:val="single" w:sz="4" w:space="0" w:color="auto"/>
              <w:left w:val="nil"/>
              <w:bottom w:val="single" w:sz="4" w:space="0" w:color="auto"/>
              <w:right w:val="nil"/>
            </w:tcBorders>
            <w:shd w:val="clear" w:color="auto" w:fill="auto"/>
            <w:noWrap/>
            <w:vAlign w:val="bottom"/>
            <w:hideMark/>
          </w:tcPr>
          <w:p w14:paraId="59C89E00" w14:textId="77777777" w:rsidR="00945E3B" w:rsidRPr="000F22FA" w:rsidRDefault="00945E3B" w:rsidP="00232640">
            <w:pPr>
              <w:spacing w:line="240" w:lineRule="auto"/>
              <w:jc w:val="right"/>
              <w:rPr>
                <w:b/>
                <w:bCs/>
                <w:color w:val="000000"/>
                <w:sz w:val="20"/>
                <w:szCs w:val="20"/>
              </w:rPr>
            </w:pPr>
            <w:r w:rsidRPr="000F22FA">
              <w:rPr>
                <w:b/>
                <w:bCs/>
                <w:color w:val="000000"/>
                <w:sz w:val="20"/>
                <w:szCs w:val="20"/>
              </w:rPr>
              <w:t>354</w:t>
            </w:r>
          </w:p>
        </w:tc>
        <w:tc>
          <w:tcPr>
            <w:tcW w:w="847" w:type="dxa"/>
            <w:tcBorders>
              <w:top w:val="single" w:sz="4" w:space="0" w:color="auto"/>
              <w:left w:val="nil"/>
              <w:bottom w:val="single" w:sz="4" w:space="0" w:color="auto"/>
              <w:right w:val="nil"/>
            </w:tcBorders>
            <w:shd w:val="clear" w:color="auto" w:fill="auto"/>
            <w:noWrap/>
            <w:vAlign w:val="bottom"/>
            <w:hideMark/>
          </w:tcPr>
          <w:p w14:paraId="00623906" w14:textId="77777777" w:rsidR="00945E3B" w:rsidRPr="000F22FA" w:rsidRDefault="00945E3B" w:rsidP="00232640">
            <w:pPr>
              <w:spacing w:line="240" w:lineRule="auto"/>
              <w:jc w:val="right"/>
              <w:rPr>
                <w:b/>
                <w:bCs/>
                <w:color w:val="000000"/>
                <w:sz w:val="20"/>
                <w:szCs w:val="20"/>
              </w:rPr>
            </w:pPr>
            <w:r w:rsidRPr="000F22FA">
              <w:rPr>
                <w:b/>
                <w:bCs/>
                <w:color w:val="000000"/>
                <w:sz w:val="20"/>
                <w:szCs w:val="20"/>
              </w:rPr>
              <w:t>419</w:t>
            </w:r>
          </w:p>
        </w:tc>
      </w:tr>
    </w:tbl>
    <w:p w14:paraId="4D7BC3A2" w14:textId="77777777" w:rsidR="00945E3B" w:rsidRDefault="00945E3B" w:rsidP="00945E3B">
      <w:pPr>
        <w:rPr>
          <w:sz w:val="20"/>
          <w:szCs w:val="20"/>
        </w:rPr>
      </w:pPr>
    </w:p>
    <w:p w14:paraId="200CFEBC" w14:textId="77777777" w:rsidR="00945E3B" w:rsidRDefault="00945E3B" w:rsidP="00945E3B">
      <w:pPr>
        <w:rPr>
          <w:sz w:val="20"/>
          <w:szCs w:val="20"/>
        </w:rPr>
      </w:pPr>
    </w:p>
    <w:tbl>
      <w:tblPr>
        <w:tblW w:w="9072" w:type="dxa"/>
        <w:tblInd w:w="70" w:type="dxa"/>
        <w:tblCellMar>
          <w:left w:w="70" w:type="dxa"/>
          <w:right w:w="70" w:type="dxa"/>
        </w:tblCellMar>
        <w:tblLook w:val="04A0" w:firstRow="1" w:lastRow="0" w:firstColumn="1" w:lastColumn="0" w:noHBand="0" w:noVBand="1"/>
      </w:tblPr>
      <w:tblGrid>
        <w:gridCol w:w="4309"/>
        <w:gridCol w:w="728"/>
        <w:gridCol w:w="787"/>
        <w:gridCol w:w="748"/>
        <w:gridCol w:w="787"/>
        <w:gridCol w:w="866"/>
        <w:gridCol w:w="847"/>
      </w:tblGrid>
      <w:tr w:rsidR="00945E3B" w:rsidRPr="000F22FA" w14:paraId="04D8239C" w14:textId="77777777" w:rsidTr="00232640">
        <w:trPr>
          <w:trHeight w:val="255"/>
        </w:trPr>
        <w:tc>
          <w:tcPr>
            <w:tcW w:w="4309" w:type="dxa"/>
            <w:tcBorders>
              <w:top w:val="single" w:sz="4" w:space="0" w:color="auto"/>
              <w:left w:val="nil"/>
              <w:bottom w:val="single" w:sz="4" w:space="0" w:color="auto"/>
              <w:right w:val="nil"/>
            </w:tcBorders>
            <w:shd w:val="clear" w:color="auto" w:fill="auto"/>
            <w:noWrap/>
            <w:vAlign w:val="bottom"/>
            <w:hideMark/>
          </w:tcPr>
          <w:p w14:paraId="2D9546D1" w14:textId="77777777" w:rsidR="00945E3B" w:rsidRPr="000F22FA" w:rsidRDefault="00945E3B" w:rsidP="00232640">
            <w:pPr>
              <w:spacing w:line="240" w:lineRule="auto"/>
              <w:rPr>
                <w:color w:val="000000"/>
                <w:sz w:val="20"/>
                <w:szCs w:val="20"/>
              </w:rPr>
            </w:pPr>
            <w:r w:rsidRPr="000F22FA">
              <w:rPr>
                <w:color w:val="000000"/>
                <w:sz w:val="20"/>
                <w:szCs w:val="20"/>
              </w:rPr>
              <w:t>WO (artikel 7)</w:t>
            </w:r>
          </w:p>
        </w:tc>
        <w:tc>
          <w:tcPr>
            <w:tcW w:w="728" w:type="dxa"/>
            <w:tcBorders>
              <w:top w:val="single" w:sz="4" w:space="0" w:color="auto"/>
              <w:left w:val="nil"/>
              <w:bottom w:val="single" w:sz="4" w:space="0" w:color="auto"/>
              <w:right w:val="nil"/>
            </w:tcBorders>
            <w:shd w:val="clear" w:color="auto" w:fill="auto"/>
            <w:noWrap/>
            <w:vAlign w:val="bottom"/>
            <w:hideMark/>
          </w:tcPr>
          <w:p w14:paraId="52CA9591" w14:textId="77777777" w:rsidR="00945E3B" w:rsidRPr="000F22FA" w:rsidRDefault="00945E3B" w:rsidP="00232640">
            <w:pPr>
              <w:spacing w:line="240" w:lineRule="auto"/>
              <w:jc w:val="right"/>
              <w:rPr>
                <w:color w:val="000000"/>
                <w:sz w:val="20"/>
                <w:szCs w:val="20"/>
              </w:rPr>
            </w:pPr>
            <w:r w:rsidRPr="000F22FA">
              <w:rPr>
                <w:color w:val="000000"/>
                <w:sz w:val="20"/>
                <w:szCs w:val="20"/>
              </w:rPr>
              <w:t>2019</w:t>
            </w:r>
          </w:p>
        </w:tc>
        <w:tc>
          <w:tcPr>
            <w:tcW w:w="787" w:type="dxa"/>
            <w:tcBorders>
              <w:top w:val="single" w:sz="4" w:space="0" w:color="auto"/>
              <w:left w:val="nil"/>
              <w:bottom w:val="single" w:sz="4" w:space="0" w:color="auto"/>
              <w:right w:val="nil"/>
            </w:tcBorders>
            <w:shd w:val="clear" w:color="auto" w:fill="auto"/>
            <w:noWrap/>
            <w:vAlign w:val="bottom"/>
            <w:hideMark/>
          </w:tcPr>
          <w:p w14:paraId="40D8CD1E" w14:textId="77777777" w:rsidR="00945E3B" w:rsidRPr="000F22FA" w:rsidRDefault="00945E3B" w:rsidP="00232640">
            <w:pPr>
              <w:spacing w:line="240" w:lineRule="auto"/>
              <w:jc w:val="right"/>
              <w:rPr>
                <w:color w:val="000000"/>
                <w:sz w:val="20"/>
                <w:szCs w:val="20"/>
              </w:rPr>
            </w:pPr>
            <w:r w:rsidRPr="000F22FA">
              <w:rPr>
                <w:color w:val="000000"/>
                <w:sz w:val="20"/>
                <w:szCs w:val="20"/>
              </w:rPr>
              <w:t>2020</w:t>
            </w:r>
          </w:p>
        </w:tc>
        <w:tc>
          <w:tcPr>
            <w:tcW w:w="748" w:type="dxa"/>
            <w:tcBorders>
              <w:top w:val="single" w:sz="4" w:space="0" w:color="auto"/>
              <w:left w:val="nil"/>
              <w:bottom w:val="single" w:sz="4" w:space="0" w:color="auto"/>
              <w:right w:val="nil"/>
            </w:tcBorders>
            <w:shd w:val="clear" w:color="auto" w:fill="auto"/>
            <w:noWrap/>
            <w:vAlign w:val="bottom"/>
            <w:hideMark/>
          </w:tcPr>
          <w:p w14:paraId="5841D1E3" w14:textId="77777777" w:rsidR="00945E3B" w:rsidRPr="000F22FA" w:rsidRDefault="00945E3B" w:rsidP="00232640">
            <w:pPr>
              <w:spacing w:line="240" w:lineRule="auto"/>
              <w:jc w:val="right"/>
              <w:rPr>
                <w:color w:val="000000"/>
                <w:sz w:val="20"/>
                <w:szCs w:val="20"/>
              </w:rPr>
            </w:pPr>
            <w:r w:rsidRPr="000F22FA">
              <w:rPr>
                <w:color w:val="000000"/>
                <w:sz w:val="20"/>
                <w:szCs w:val="20"/>
              </w:rPr>
              <w:t>2021</w:t>
            </w:r>
          </w:p>
        </w:tc>
        <w:tc>
          <w:tcPr>
            <w:tcW w:w="787" w:type="dxa"/>
            <w:tcBorders>
              <w:top w:val="single" w:sz="4" w:space="0" w:color="auto"/>
              <w:left w:val="nil"/>
              <w:bottom w:val="single" w:sz="4" w:space="0" w:color="auto"/>
              <w:right w:val="nil"/>
            </w:tcBorders>
            <w:shd w:val="clear" w:color="auto" w:fill="auto"/>
            <w:noWrap/>
            <w:vAlign w:val="bottom"/>
            <w:hideMark/>
          </w:tcPr>
          <w:p w14:paraId="701DD112" w14:textId="77777777" w:rsidR="00945E3B" w:rsidRPr="000F22FA" w:rsidRDefault="00945E3B" w:rsidP="00232640">
            <w:pPr>
              <w:spacing w:line="240" w:lineRule="auto"/>
              <w:jc w:val="right"/>
              <w:rPr>
                <w:color w:val="000000"/>
                <w:sz w:val="20"/>
                <w:szCs w:val="20"/>
              </w:rPr>
            </w:pPr>
            <w:r w:rsidRPr="000F22FA">
              <w:rPr>
                <w:color w:val="000000"/>
                <w:sz w:val="20"/>
                <w:szCs w:val="20"/>
              </w:rPr>
              <w:t>2022</w:t>
            </w:r>
          </w:p>
        </w:tc>
        <w:tc>
          <w:tcPr>
            <w:tcW w:w="866" w:type="dxa"/>
            <w:tcBorders>
              <w:top w:val="single" w:sz="4" w:space="0" w:color="auto"/>
              <w:left w:val="nil"/>
              <w:bottom w:val="single" w:sz="4" w:space="0" w:color="auto"/>
              <w:right w:val="nil"/>
            </w:tcBorders>
            <w:shd w:val="clear" w:color="auto" w:fill="auto"/>
            <w:noWrap/>
            <w:vAlign w:val="bottom"/>
            <w:hideMark/>
          </w:tcPr>
          <w:p w14:paraId="42EA970D" w14:textId="77777777" w:rsidR="00945E3B" w:rsidRPr="000F22FA" w:rsidRDefault="00945E3B" w:rsidP="00232640">
            <w:pPr>
              <w:spacing w:line="240" w:lineRule="auto"/>
              <w:jc w:val="right"/>
              <w:rPr>
                <w:color w:val="000000"/>
                <w:sz w:val="20"/>
                <w:szCs w:val="20"/>
              </w:rPr>
            </w:pPr>
            <w:r w:rsidRPr="000F22FA">
              <w:rPr>
                <w:color w:val="000000"/>
                <w:sz w:val="20"/>
                <w:szCs w:val="20"/>
              </w:rPr>
              <w:t>2023</w:t>
            </w:r>
          </w:p>
        </w:tc>
        <w:tc>
          <w:tcPr>
            <w:tcW w:w="847" w:type="dxa"/>
            <w:tcBorders>
              <w:top w:val="single" w:sz="4" w:space="0" w:color="auto"/>
              <w:left w:val="nil"/>
              <w:bottom w:val="single" w:sz="4" w:space="0" w:color="auto"/>
              <w:right w:val="nil"/>
            </w:tcBorders>
            <w:shd w:val="clear" w:color="auto" w:fill="auto"/>
            <w:noWrap/>
            <w:vAlign w:val="bottom"/>
            <w:hideMark/>
          </w:tcPr>
          <w:p w14:paraId="3CB19CC6" w14:textId="77777777" w:rsidR="00945E3B" w:rsidRPr="000F22FA" w:rsidRDefault="00945E3B" w:rsidP="00232640">
            <w:pPr>
              <w:spacing w:line="240" w:lineRule="auto"/>
              <w:jc w:val="right"/>
              <w:rPr>
                <w:color w:val="000000"/>
                <w:sz w:val="20"/>
                <w:szCs w:val="20"/>
              </w:rPr>
            </w:pPr>
            <w:r w:rsidRPr="000F22FA">
              <w:rPr>
                <w:color w:val="000000"/>
                <w:sz w:val="20"/>
                <w:szCs w:val="20"/>
              </w:rPr>
              <w:t>2024</w:t>
            </w:r>
          </w:p>
        </w:tc>
      </w:tr>
      <w:tr w:rsidR="00945E3B" w:rsidRPr="000F22FA" w14:paraId="0FE7A188" w14:textId="77777777" w:rsidTr="00232640">
        <w:trPr>
          <w:trHeight w:val="255"/>
        </w:trPr>
        <w:tc>
          <w:tcPr>
            <w:tcW w:w="4309" w:type="dxa"/>
            <w:tcBorders>
              <w:top w:val="nil"/>
              <w:left w:val="nil"/>
              <w:bottom w:val="nil"/>
              <w:right w:val="nil"/>
            </w:tcBorders>
            <w:shd w:val="clear" w:color="auto" w:fill="auto"/>
            <w:noWrap/>
            <w:vAlign w:val="bottom"/>
            <w:hideMark/>
          </w:tcPr>
          <w:p w14:paraId="72DADCAE" w14:textId="77777777" w:rsidR="00945E3B" w:rsidRPr="000F22FA" w:rsidRDefault="00945E3B" w:rsidP="00232640">
            <w:pPr>
              <w:spacing w:line="240" w:lineRule="auto"/>
              <w:rPr>
                <w:color w:val="000000"/>
                <w:sz w:val="20"/>
                <w:szCs w:val="20"/>
              </w:rPr>
            </w:pPr>
            <w:r w:rsidRPr="000F22FA">
              <w:rPr>
                <w:color w:val="000000"/>
                <w:sz w:val="20"/>
                <w:szCs w:val="20"/>
              </w:rPr>
              <w:t>1 Kwaliteitsafspraken</w:t>
            </w:r>
          </w:p>
        </w:tc>
        <w:tc>
          <w:tcPr>
            <w:tcW w:w="728" w:type="dxa"/>
            <w:tcBorders>
              <w:top w:val="nil"/>
              <w:left w:val="nil"/>
              <w:bottom w:val="nil"/>
              <w:right w:val="nil"/>
            </w:tcBorders>
            <w:shd w:val="clear" w:color="auto" w:fill="auto"/>
            <w:noWrap/>
            <w:vAlign w:val="bottom"/>
            <w:hideMark/>
          </w:tcPr>
          <w:p w14:paraId="5150E437" w14:textId="77777777" w:rsidR="00945E3B" w:rsidRPr="000F22FA" w:rsidRDefault="00945E3B" w:rsidP="00232640">
            <w:pPr>
              <w:spacing w:line="240" w:lineRule="auto"/>
              <w:jc w:val="right"/>
              <w:rPr>
                <w:color w:val="000000"/>
                <w:sz w:val="20"/>
                <w:szCs w:val="20"/>
              </w:rPr>
            </w:pPr>
            <w:r w:rsidRPr="000F22FA">
              <w:rPr>
                <w:color w:val="000000"/>
                <w:sz w:val="20"/>
                <w:szCs w:val="20"/>
              </w:rPr>
              <w:t>72</w:t>
            </w:r>
          </w:p>
        </w:tc>
        <w:tc>
          <w:tcPr>
            <w:tcW w:w="787" w:type="dxa"/>
            <w:tcBorders>
              <w:top w:val="nil"/>
              <w:left w:val="nil"/>
              <w:bottom w:val="nil"/>
              <w:right w:val="nil"/>
            </w:tcBorders>
            <w:shd w:val="clear" w:color="auto" w:fill="auto"/>
            <w:noWrap/>
            <w:vAlign w:val="bottom"/>
            <w:hideMark/>
          </w:tcPr>
          <w:p w14:paraId="274FE620" w14:textId="77777777" w:rsidR="00945E3B" w:rsidRPr="000F22FA" w:rsidRDefault="00945E3B" w:rsidP="00232640">
            <w:pPr>
              <w:spacing w:line="240" w:lineRule="auto"/>
              <w:jc w:val="right"/>
              <w:rPr>
                <w:color w:val="000000"/>
                <w:sz w:val="20"/>
                <w:szCs w:val="20"/>
              </w:rPr>
            </w:pPr>
            <w:r w:rsidRPr="000F22FA">
              <w:rPr>
                <w:color w:val="000000"/>
                <w:sz w:val="20"/>
                <w:szCs w:val="20"/>
              </w:rPr>
              <w:t>86</w:t>
            </w:r>
          </w:p>
        </w:tc>
        <w:tc>
          <w:tcPr>
            <w:tcW w:w="748" w:type="dxa"/>
            <w:tcBorders>
              <w:top w:val="nil"/>
              <w:left w:val="nil"/>
              <w:bottom w:val="nil"/>
              <w:right w:val="nil"/>
            </w:tcBorders>
            <w:shd w:val="clear" w:color="auto" w:fill="auto"/>
            <w:noWrap/>
            <w:vAlign w:val="bottom"/>
            <w:hideMark/>
          </w:tcPr>
          <w:p w14:paraId="3F3C32CA" w14:textId="77777777" w:rsidR="00945E3B" w:rsidRPr="000F22FA" w:rsidRDefault="00945E3B" w:rsidP="00232640">
            <w:pPr>
              <w:spacing w:line="240" w:lineRule="auto"/>
              <w:jc w:val="right"/>
              <w:rPr>
                <w:color w:val="000000"/>
                <w:sz w:val="20"/>
                <w:szCs w:val="20"/>
              </w:rPr>
            </w:pPr>
            <w:r w:rsidRPr="000F22FA">
              <w:rPr>
                <w:color w:val="000000"/>
                <w:sz w:val="20"/>
                <w:szCs w:val="20"/>
              </w:rPr>
              <w:t>146</w:t>
            </w:r>
          </w:p>
        </w:tc>
        <w:tc>
          <w:tcPr>
            <w:tcW w:w="787" w:type="dxa"/>
            <w:tcBorders>
              <w:top w:val="nil"/>
              <w:left w:val="nil"/>
              <w:bottom w:val="nil"/>
              <w:right w:val="nil"/>
            </w:tcBorders>
            <w:shd w:val="clear" w:color="auto" w:fill="auto"/>
            <w:noWrap/>
            <w:vAlign w:val="bottom"/>
            <w:hideMark/>
          </w:tcPr>
          <w:p w14:paraId="03754F12" w14:textId="77777777" w:rsidR="00945E3B" w:rsidRPr="000F22FA" w:rsidRDefault="00945E3B" w:rsidP="00232640">
            <w:pPr>
              <w:spacing w:line="240" w:lineRule="auto"/>
              <w:jc w:val="right"/>
              <w:rPr>
                <w:color w:val="000000"/>
                <w:sz w:val="20"/>
                <w:szCs w:val="20"/>
              </w:rPr>
            </w:pPr>
            <w:r w:rsidRPr="000F22FA">
              <w:rPr>
                <w:color w:val="000000"/>
                <w:sz w:val="20"/>
                <w:szCs w:val="20"/>
              </w:rPr>
              <w:t>182</w:t>
            </w:r>
          </w:p>
        </w:tc>
        <w:tc>
          <w:tcPr>
            <w:tcW w:w="866" w:type="dxa"/>
            <w:tcBorders>
              <w:top w:val="nil"/>
              <w:left w:val="nil"/>
              <w:bottom w:val="nil"/>
              <w:right w:val="nil"/>
            </w:tcBorders>
            <w:shd w:val="clear" w:color="auto" w:fill="auto"/>
            <w:noWrap/>
            <w:vAlign w:val="bottom"/>
            <w:hideMark/>
          </w:tcPr>
          <w:p w14:paraId="4667174B" w14:textId="77777777" w:rsidR="00945E3B" w:rsidRPr="000F22FA" w:rsidRDefault="00945E3B" w:rsidP="00232640">
            <w:pPr>
              <w:spacing w:line="240" w:lineRule="auto"/>
              <w:jc w:val="right"/>
              <w:rPr>
                <w:color w:val="000000"/>
                <w:sz w:val="20"/>
                <w:szCs w:val="20"/>
              </w:rPr>
            </w:pPr>
            <w:r w:rsidRPr="000F22FA">
              <w:rPr>
                <w:color w:val="000000"/>
                <w:sz w:val="20"/>
                <w:szCs w:val="20"/>
              </w:rPr>
              <w:t>192</w:t>
            </w:r>
          </w:p>
        </w:tc>
        <w:tc>
          <w:tcPr>
            <w:tcW w:w="847" w:type="dxa"/>
            <w:tcBorders>
              <w:top w:val="nil"/>
              <w:left w:val="nil"/>
              <w:bottom w:val="nil"/>
              <w:right w:val="nil"/>
            </w:tcBorders>
            <w:shd w:val="clear" w:color="auto" w:fill="auto"/>
            <w:noWrap/>
            <w:vAlign w:val="bottom"/>
            <w:hideMark/>
          </w:tcPr>
          <w:p w14:paraId="7BF56319" w14:textId="77777777" w:rsidR="00945E3B" w:rsidRPr="000F22FA" w:rsidRDefault="00945E3B" w:rsidP="00232640">
            <w:pPr>
              <w:spacing w:line="240" w:lineRule="auto"/>
              <w:jc w:val="right"/>
              <w:rPr>
                <w:color w:val="000000"/>
                <w:sz w:val="20"/>
                <w:szCs w:val="20"/>
              </w:rPr>
            </w:pPr>
            <w:r w:rsidRPr="000F22FA">
              <w:rPr>
                <w:color w:val="000000"/>
                <w:sz w:val="20"/>
                <w:szCs w:val="20"/>
              </w:rPr>
              <w:t>217</w:t>
            </w:r>
          </w:p>
        </w:tc>
      </w:tr>
      <w:tr w:rsidR="00945E3B" w:rsidRPr="000F22FA" w14:paraId="672E8B8D" w14:textId="77777777" w:rsidTr="00232640">
        <w:trPr>
          <w:trHeight w:val="255"/>
        </w:trPr>
        <w:tc>
          <w:tcPr>
            <w:tcW w:w="4309" w:type="dxa"/>
            <w:tcBorders>
              <w:top w:val="nil"/>
              <w:left w:val="nil"/>
              <w:bottom w:val="nil"/>
              <w:right w:val="nil"/>
            </w:tcBorders>
            <w:shd w:val="clear" w:color="auto" w:fill="auto"/>
            <w:noWrap/>
            <w:vAlign w:val="bottom"/>
            <w:hideMark/>
          </w:tcPr>
          <w:p w14:paraId="442CA42A" w14:textId="77777777" w:rsidR="00945E3B" w:rsidRPr="000F22FA" w:rsidRDefault="00945E3B" w:rsidP="00232640">
            <w:pPr>
              <w:spacing w:line="240" w:lineRule="auto"/>
              <w:rPr>
                <w:color w:val="000000"/>
                <w:sz w:val="20"/>
                <w:szCs w:val="20"/>
              </w:rPr>
            </w:pPr>
            <w:r w:rsidRPr="000F22FA">
              <w:rPr>
                <w:color w:val="000000"/>
                <w:sz w:val="20"/>
                <w:szCs w:val="20"/>
              </w:rPr>
              <w:t>2 Landelijke specifieke doelstellingen</w:t>
            </w:r>
          </w:p>
        </w:tc>
        <w:tc>
          <w:tcPr>
            <w:tcW w:w="728" w:type="dxa"/>
            <w:tcBorders>
              <w:top w:val="nil"/>
              <w:left w:val="nil"/>
              <w:bottom w:val="nil"/>
              <w:right w:val="nil"/>
            </w:tcBorders>
            <w:shd w:val="clear" w:color="auto" w:fill="auto"/>
            <w:noWrap/>
            <w:vAlign w:val="bottom"/>
            <w:hideMark/>
          </w:tcPr>
          <w:p w14:paraId="7FA2BD37" w14:textId="77777777" w:rsidR="00945E3B" w:rsidRPr="000F22FA" w:rsidRDefault="00945E3B" w:rsidP="00232640">
            <w:pPr>
              <w:spacing w:line="240" w:lineRule="auto"/>
              <w:jc w:val="right"/>
              <w:rPr>
                <w:color w:val="000000"/>
                <w:sz w:val="20"/>
                <w:szCs w:val="20"/>
              </w:rPr>
            </w:pPr>
            <w:r w:rsidRPr="000F22FA">
              <w:rPr>
                <w:color w:val="000000"/>
                <w:sz w:val="20"/>
                <w:szCs w:val="20"/>
              </w:rPr>
              <w:t>10</w:t>
            </w:r>
          </w:p>
        </w:tc>
        <w:tc>
          <w:tcPr>
            <w:tcW w:w="787" w:type="dxa"/>
            <w:tcBorders>
              <w:top w:val="nil"/>
              <w:left w:val="nil"/>
              <w:bottom w:val="nil"/>
              <w:right w:val="nil"/>
            </w:tcBorders>
            <w:shd w:val="clear" w:color="auto" w:fill="auto"/>
            <w:noWrap/>
            <w:vAlign w:val="bottom"/>
            <w:hideMark/>
          </w:tcPr>
          <w:p w14:paraId="2141DEA5" w14:textId="77777777" w:rsidR="00945E3B" w:rsidRPr="000F22FA" w:rsidRDefault="00945E3B" w:rsidP="00232640">
            <w:pPr>
              <w:spacing w:line="240" w:lineRule="auto"/>
              <w:jc w:val="right"/>
              <w:rPr>
                <w:color w:val="000000"/>
                <w:sz w:val="20"/>
                <w:szCs w:val="20"/>
              </w:rPr>
            </w:pPr>
            <w:r w:rsidRPr="000F22FA">
              <w:rPr>
                <w:color w:val="000000"/>
                <w:sz w:val="20"/>
                <w:szCs w:val="20"/>
              </w:rPr>
              <w:t>11</w:t>
            </w:r>
          </w:p>
        </w:tc>
        <w:tc>
          <w:tcPr>
            <w:tcW w:w="748" w:type="dxa"/>
            <w:tcBorders>
              <w:top w:val="nil"/>
              <w:left w:val="nil"/>
              <w:bottom w:val="nil"/>
              <w:right w:val="nil"/>
            </w:tcBorders>
            <w:shd w:val="clear" w:color="auto" w:fill="auto"/>
            <w:noWrap/>
            <w:vAlign w:val="bottom"/>
            <w:hideMark/>
          </w:tcPr>
          <w:p w14:paraId="77071690" w14:textId="77777777" w:rsidR="00945E3B" w:rsidRPr="000F22FA" w:rsidRDefault="00945E3B" w:rsidP="00232640">
            <w:pPr>
              <w:spacing w:line="240" w:lineRule="auto"/>
              <w:jc w:val="right"/>
              <w:rPr>
                <w:color w:val="000000"/>
                <w:sz w:val="20"/>
                <w:szCs w:val="20"/>
              </w:rPr>
            </w:pPr>
            <w:r w:rsidRPr="000F22FA">
              <w:rPr>
                <w:color w:val="000000"/>
                <w:sz w:val="20"/>
                <w:szCs w:val="20"/>
              </w:rPr>
              <w:t>15</w:t>
            </w:r>
          </w:p>
        </w:tc>
        <w:tc>
          <w:tcPr>
            <w:tcW w:w="787" w:type="dxa"/>
            <w:tcBorders>
              <w:top w:val="nil"/>
              <w:left w:val="nil"/>
              <w:bottom w:val="nil"/>
              <w:right w:val="nil"/>
            </w:tcBorders>
            <w:shd w:val="clear" w:color="auto" w:fill="auto"/>
            <w:noWrap/>
            <w:vAlign w:val="bottom"/>
            <w:hideMark/>
          </w:tcPr>
          <w:p w14:paraId="65F97C1C" w14:textId="77777777" w:rsidR="00945E3B" w:rsidRPr="000F22FA" w:rsidRDefault="00945E3B" w:rsidP="00232640">
            <w:pPr>
              <w:spacing w:line="240" w:lineRule="auto"/>
              <w:jc w:val="right"/>
              <w:rPr>
                <w:color w:val="000000"/>
                <w:sz w:val="20"/>
                <w:szCs w:val="20"/>
              </w:rPr>
            </w:pPr>
            <w:r w:rsidRPr="000F22FA">
              <w:rPr>
                <w:color w:val="000000"/>
                <w:sz w:val="20"/>
                <w:szCs w:val="20"/>
              </w:rPr>
              <w:t>18</w:t>
            </w:r>
          </w:p>
        </w:tc>
        <w:tc>
          <w:tcPr>
            <w:tcW w:w="866" w:type="dxa"/>
            <w:tcBorders>
              <w:top w:val="nil"/>
              <w:left w:val="nil"/>
              <w:bottom w:val="nil"/>
              <w:right w:val="nil"/>
            </w:tcBorders>
            <w:shd w:val="clear" w:color="auto" w:fill="auto"/>
            <w:noWrap/>
            <w:vAlign w:val="bottom"/>
            <w:hideMark/>
          </w:tcPr>
          <w:p w14:paraId="2F1B2A4B" w14:textId="77777777" w:rsidR="00945E3B" w:rsidRPr="000F22FA" w:rsidRDefault="00945E3B" w:rsidP="00232640">
            <w:pPr>
              <w:spacing w:line="240" w:lineRule="auto"/>
              <w:jc w:val="right"/>
              <w:rPr>
                <w:color w:val="000000"/>
                <w:sz w:val="20"/>
                <w:szCs w:val="20"/>
              </w:rPr>
            </w:pPr>
            <w:r w:rsidRPr="000F22FA">
              <w:rPr>
                <w:color w:val="000000"/>
                <w:sz w:val="20"/>
                <w:szCs w:val="20"/>
              </w:rPr>
              <w:t>21</w:t>
            </w:r>
          </w:p>
        </w:tc>
        <w:tc>
          <w:tcPr>
            <w:tcW w:w="847" w:type="dxa"/>
            <w:tcBorders>
              <w:top w:val="nil"/>
              <w:left w:val="nil"/>
              <w:bottom w:val="nil"/>
              <w:right w:val="nil"/>
            </w:tcBorders>
            <w:shd w:val="clear" w:color="auto" w:fill="auto"/>
            <w:noWrap/>
            <w:vAlign w:val="bottom"/>
            <w:hideMark/>
          </w:tcPr>
          <w:p w14:paraId="40325D35" w14:textId="77777777" w:rsidR="00945E3B" w:rsidRPr="000F22FA" w:rsidRDefault="00945E3B" w:rsidP="00232640">
            <w:pPr>
              <w:spacing w:line="240" w:lineRule="auto"/>
              <w:jc w:val="right"/>
              <w:rPr>
                <w:color w:val="000000"/>
                <w:sz w:val="20"/>
                <w:szCs w:val="20"/>
              </w:rPr>
            </w:pPr>
            <w:r w:rsidRPr="000F22FA">
              <w:rPr>
                <w:color w:val="000000"/>
                <w:sz w:val="20"/>
                <w:szCs w:val="20"/>
              </w:rPr>
              <w:t>24</w:t>
            </w:r>
          </w:p>
        </w:tc>
      </w:tr>
      <w:tr w:rsidR="00945E3B" w:rsidRPr="000F22FA" w14:paraId="67891FC4" w14:textId="77777777" w:rsidTr="00232640">
        <w:trPr>
          <w:trHeight w:val="255"/>
        </w:trPr>
        <w:tc>
          <w:tcPr>
            <w:tcW w:w="4309" w:type="dxa"/>
            <w:tcBorders>
              <w:top w:val="nil"/>
              <w:left w:val="nil"/>
              <w:bottom w:val="nil"/>
              <w:right w:val="nil"/>
            </w:tcBorders>
            <w:shd w:val="clear" w:color="auto" w:fill="auto"/>
            <w:noWrap/>
            <w:vAlign w:val="bottom"/>
            <w:hideMark/>
          </w:tcPr>
          <w:p w14:paraId="7FAC7D21" w14:textId="77777777" w:rsidR="00945E3B" w:rsidRPr="000F22FA" w:rsidRDefault="00945E3B" w:rsidP="00232640">
            <w:pPr>
              <w:spacing w:line="240" w:lineRule="auto"/>
              <w:rPr>
                <w:color w:val="000000"/>
                <w:sz w:val="20"/>
                <w:szCs w:val="20"/>
              </w:rPr>
            </w:pPr>
            <w:r w:rsidRPr="000F22FA">
              <w:rPr>
                <w:color w:val="000000"/>
                <w:sz w:val="20"/>
                <w:szCs w:val="20"/>
              </w:rPr>
              <w:t>3 Vouchers</w:t>
            </w:r>
          </w:p>
        </w:tc>
        <w:tc>
          <w:tcPr>
            <w:tcW w:w="728" w:type="dxa"/>
            <w:tcBorders>
              <w:top w:val="nil"/>
              <w:left w:val="nil"/>
              <w:bottom w:val="nil"/>
              <w:right w:val="nil"/>
            </w:tcBorders>
            <w:shd w:val="clear" w:color="auto" w:fill="auto"/>
            <w:noWrap/>
            <w:vAlign w:val="bottom"/>
            <w:hideMark/>
          </w:tcPr>
          <w:p w14:paraId="1749642F" w14:textId="77777777" w:rsidR="00945E3B" w:rsidRPr="000F22FA" w:rsidRDefault="00945E3B" w:rsidP="00232640">
            <w:pPr>
              <w:spacing w:line="240" w:lineRule="auto"/>
              <w:jc w:val="right"/>
              <w:rPr>
                <w:color w:val="000000"/>
                <w:sz w:val="20"/>
                <w:szCs w:val="20"/>
              </w:rPr>
            </w:pPr>
            <w:r w:rsidRPr="000F22FA">
              <w:rPr>
                <w:color w:val="000000"/>
                <w:sz w:val="20"/>
                <w:szCs w:val="20"/>
              </w:rPr>
              <w:t>0</w:t>
            </w:r>
          </w:p>
        </w:tc>
        <w:tc>
          <w:tcPr>
            <w:tcW w:w="787" w:type="dxa"/>
            <w:tcBorders>
              <w:top w:val="nil"/>
              <w:left w:val="nil"/>
              <w:bottom w:val="nil"/>
              <w:right w:val="nil"/>
            </w:tcBorders>
            <w:shd w:val="clear" w:color="auto" w:fill="auto"/>
            <w:noWrap/>
            <w:vAlign w:val="bottom"/>
            <w:hideMark/>
          </w:tcPr>
          <w:p w14:paraId="75952907" w14:textId="77777777" w:rsidR="00945E3B" w:rsidRPr="000F22FA" w:rsidRDefault="00945E3B" w:rsidP="00232640">
            <w:pPr>
              <w:spacing w:line="240" w:lineRule="auto"/>
              <w:jc w:val="right"/>
              <w:rPr>
                <w:color w:val="000000"/>
                <w:sz w:val="20"/>
                <w:szCs w:val="20"/>
              </w:rPr>
            </w:pPr>
            <w:r w:rsidRPr="000F22FA">
              <w:rPr>
                <w:color w:val="000000"/>
                <w:sz w:val="20"/>
                <w:szCs w:val="20"/>
              </w:rPr>
              <w:t>0</w:t>
            </w:r>
          </w:p>
        </w:tc>
        <w:tc>
          <w:tcPr>
            <w:tcW w:w="748" w:type="dxa"/>
            <w:tcBorders>
              <w:top w:val="nil"/>
              <w:left w:val="nil"/>
              <w:bottom w:val="nil"/>
              <w:right w:val="nil"/>
            </w:tcBorders>
            <w:shd w:val="clear" w:color="auto" w:fill="auto"/>
            <w:noWrap/>
            <w:vAlign w:val="bottom"/>
            <w:hideMark/>
          </w:tcPr>
          <w:p w14:paraId="7653D618" w14:textId="77777777" w:rsidR="00945E3B" w:rsidRPr="000F22FA" w:rsidRDefault="00945E3B" w:rsidP="00232640">
            <w:pPr>
              <w:spacing w:line="240" w:lineRule="auto"/>
              <w:jc w:val="right"/>
              <w:rPr>
                <w:color w:val="000000"/>
                <w:sz w:val="20"/>
                <w:szCs w:val="20"/>
              </w:rPr>
            </w:pPr>
            <w:r w:rsidRPr="000F22FA">
              <w:rPr>
                <w:color w:val="000000"/>
                <w:sz w:val="20"/>
                <w:szCs w:val="20"/>
              </w:rPr>
              <w:t>0</w:t>
            </w:r>
          </w:p>
        </w:tc>
        <w:tc>
          <w:tcPr>
            <w:tcW w:w="787" w:type="dxa"/>
            <w:tcBorders>
              <w:top w:val="nil"/>
              <w:left w:val="nil"/>
              <w:bottom w:val="nil"/>
              <w:right w:val="nil"/>
            </w:tcBorders>
            <w:shd w:val="clear" w:color="auto" w:fill="auto"/>
            <w:noWrap/>
            <w:vAlign w:val="bottom"/>
            <w:hideMark/>
          </w:tcPr>
          <w:p w14:paraId="09494DEF" w14:textId="77777777" w:rsidR="00945E3B" w:rsidRPr="000F22FA" w:rsidRDefault="00945E3B" w:rsidP="00232640">
            <w:pPr>
              <w:spacing w:line="240" w:lineRule="auto"/>
              <w:jc w:val="right"/>
              <w:rPr>
                <w:color w:val="000000"/>
                <w:sz w:val="20"/>
                <w:szCs w:val="20"/>
              </w:rPr>
            </w:pPr>
            <w:r w:rsidRPr="000F22FA">
              <w:rPr>
                <w:color w:val="000000"/>
                <w:sz w:val="20"/>
                <w:szCs w:val="20"/>
              </w:rPr>
              <w:t>0</w:t>
            </w:r>
            <w:r w:rsidR="00C85F95">
              <w:rPr>
                <w:color w:val="000000"/>
                <w:sz w:val="20"/>
                <w:szCs w:val="20"/>
              </w:rPr>
              <w:t>*</w:t>
            </w:r>
          </w:p>
        </w:tc>
        <w:tc>
          <w:tcPr>
            <w:tcW w:w="866" w:type="dxa"/>
            <w:tcBorders>
              <w:top w:val="nil"/>
              <w:left w:val="nil"/>
              <w:bottom w:val="nil"/>
              <w:right w:val="nil"/>
            </w:tcBorders>
            <w:shd w:val="clear" w:color="auto" w:fill="auto"/>
            <w:noWrap/>
            <w:vAlign w:val="bottom"/>
            <w:hideMark/>
          </w:tcPr>
          <w:p w14:paraId="5C3F7D00" w14:textId="77777777" w:rsidR="00945E3B" w:rsidRPr="000F22FA" w:rsidRDefault="00945E3B" w:rsidP="00232640">
            <w:pPr>
              <w:spacing w:line="240" w:lineRule="auto"/>
              <w:jc w:val="right"/>
              <w:rPr>
                <w:color w:val="000000"/>
                <w:sz w:val="20"/>
                <w:szCs w:val="20"/>
              </w:rPr>
            </w:pPr>
            <w:r w:rsidRPr="000F22FA">
              <w:rPr>
                <w:color w:val="000000"/>
                <w:sz w:val="20"/>
                <w:szCs w:val="20"/>
              </w:rPr>
              <w:t>0</w:t>
            </w:r>
            <w:r>
              <w:rPr>
                <w:color w:val="000000"/>
                <w:sz w:val="20"/>
                <w:szCs w:val="20"/>
              </w:rPr>
              <w:t>*</w:t>
            </w:r>
          </w:p>
        </w:tc>
        <w:tc>
          <w:tcPr>
            <w:tcW w:w="847" w:type="dxa"/>
            <w:tcBorders>
              <w:top w:val="nil"/>
              <w:left w:val="nil"/>
              <w:bottom w:val="nil"/>
              <w:right w:val="nil"/>
            </w:tcBorders>
            <w:shd w:val="clear" w:color="auto" w:fill="auto"/>
            <w:noWrap/>
            <w:vAlign w:val="bottom"/>
            <w:hideMark/>
          </w:tcPr>
          <w:p w14:paraId="0AAB452A" w14:textId="77777777" w:rsidR="00945E3B" w:rsidRPr="000F22FA" w:rsidRDefault="00945E3B" w:rsidP="00232640">
            <w:pPr>
              <w:spacing w:line="240" w:lineRule="auto"/>
              <w:jc w:val="right"/>
              <w:rPr>
                <w:color w:val="000000"/>
                <w:sz w:val="20"/>
                <w:szCs w:val="20"/>
              </w:rPr>
            </w:pPr>
            <w:r w:rsidRPr="000F22FA">
              <w:rPr>
                <w:color w:val="000000"/>
                <w:sz w:val="20"/>
                <w:szCs w:val="20"/>
              </w:rPr>
              <w:t>3</w:t>
            </w:r>
          </w:p>
        </w:tc>
      </w:tr>
      <w:tr w:rsidR="00945E3B" w:rsidRPr="000F22FA" w14:paraId="4DD4B299" w14:textId="77777777" w:rsidTr="00232640">
        <w:trPr>
          <w:trHeight w:val="255"/>
        </w:trPr>
        <w:tc>
          <w:tcPr>
            <w:tcW w:w="4309" w:type="dxa"/>
            <w:tcBorders>
              <w:top w:val="single" w:sz="4" w:space="0" w:color="auto"/>
              <w:left w:val="nil"/>
              <w:bottom w:val="nil"/>
              <w:right w:val="nil"/>
            </w:tcBorders>
            <w:shd w:val="clear" w:color="auto" w:fill="auto"/>
            <w:noWrap/>
            <w:vAlign w:val="bottom"/>
            <w:hideMark/>
          </w:tcPr>
          <w:p w14:paraId="1294954C" w14:textId="77777777" w:rsidR="00945E3B" w:rsidRPr="000F22FA" w:rsidRDefault="00945E3B" w:rsidP="00232640">
            <w:pPr>
              <w:spacing w:line="240" w:lineRule="auto"/>
              <w:rPr>
                <w:b/>
                <w:bCs/>
                <w:color w:val="000000"/>
                <w:sz w:val="20"/>
                <w:szCs w:val="20"/>
              </w:rPr>
            </w:pPr>
            <w:r w:rsidRPr="000F22FA">
              <w:rPr>
                <w:b/>
                <w:bCs/>
                <w:color w:val="000000"/>
                <w:sz w:val="20"/>
                <w:szCs w:val="20"/>
              </w:rPr>
              <w:t>Totaal WO studievoorschotmiddelen</w:t>
            </w:r>
          </w:p>
        </w:tc>
        <w:tc>
          <w:tcPr>
            <w:tcW w:w="728" w:type="dxa"/>
            <w:tcBorders>
              <w:top w:val="single" w:sz="4" w:space="0" w:color="auto"/>
              <w:left w:val="nil"/>
              <w:bottom w:val="nil"/>
              <w:right w:val="nil"/>
            </w:tcBorders>
            <w:shd w:val="clear" w:color="auto" w:fill="auto"/>
            <w:noWrap/>
            <w:vAlign w:val="bottom"/>
            <w:hideMark/>
          </w:tcPr>
          <w:p w14:paraId="69303815" w14:textId="77777777" w:rsidR="00945E3B" w:rsidRPr="000F22FA" w:rsidRDefault="00945E3B" w:rsidP="00232640">
            <w:pPr>
              <w:spacing w:line="240" w:lineRule="auto"/>
              <w:jc w:val="right"/>
              <w:rPr>
                <w:b/>
                <w:bCs/>
                <w:color w:val="000000"/>
                <w:sz w:val="20"/>
                <w:szCs w:val="20"/>
              </w:rPr>
            </w:pPr>
            <w:r w:rsidRPr="000F22FA">
              <w:rPr>
                <w:b/>
                <w:bCs/>
                <w:color w:val="000000"/>
                <w:sz w:val="20"/>
                <w:szCs w:val="20"/>
              </w:rPr>
              <w:t>82</w:t>
            </w:r>
          </w:p>
        </w:tc>
        <w:tc>
          <w:tcPr>
            <w:tcW w:w="787" w:type="dxa"/>
            <w:tcBorders>
              <w:top w:val="single" w:sz="4" w:space="0" w:color="auto"/>
              <w:left w:val="nil"/>
              <w:bottom w:val="nil"/>
              <w:right w:val="nil"/>
            </w:tcBorders>
            <w:shd w:val="clear" w:color="auto" w:fill="auto"/>
            <w:noWrap/>
            <w:vAlign w:val="bottom"/>
            <w:hideMark/>
          </w:tcPr>
          <w:p w14:paraId="79E475A9" w14:textId="77777777" w:rsidR="00945E3B" w:rsidRPr="000F22FA" w:rsidRDefault="00945E3B" w:rsidP="00232640">
            <w:pPr>
              <w:spacing w:line="240" w:lineRule="auto"/>
              <w:jc w:val="right"/>
              <w:rPr>
                <w:b/>
                <w:bCs/>
                <w:color w:val="000000"/>
                <w:sz w:val="20"/>
                <w:szCs w:val="20"/>
              </w:rPr>
            </w:pPr>
            <w:r w:rsidRPr="000F22FA">
              <w:rPr>
                <w:b/>
                <w:bCs/>
                <w:color w:val="000000"/>
                <w:sz w:val="20"/>
                <w:szCs w:val="20"/>
              </w:rPr>
              <w:t>96</w:t>
            </w:r>
          </w:p>
        </w:tc>
        <w:tc>
          <w:tcPr>
            <w:tcW w:w="748" w:type="dxa"/>
            <w:tcBorders>
              <w:top w:val="single" w:sz="4" w:space="0" w:color="auto"/>
              <w:left w:val="nil"/>
              <w:bottom w:val="nil"/>
              <w:right w:val="nil"/>
            </w:tcBorders>
            <w:shd w:val="clear" w:color="auto" w:fill="auto"/>
            <w:noWrap/>
            <w:vAlign w:val="bottom"/>
            <w:hideMark/>
          </w:tcPr>
          <w:p w14:paraId="4C82D426" w14:textId="77777777" w:rsidR="00945E3B" w:rsidRPr="000F22FA" w:rsidRDefault="00945E3B" w:rsidP="00232640">
            <w:pPr>
              <w:spacing w:line="240" w:lineRule="auto"/>
              <w:jc w:val="right"/>
              <w:rPr>
                <w:b/>
                <w:bCs/>
                <w:color w:val="000000"/>
                <w:sz w:val="20"/>
                <w:szCs w:val="20"/>
              </w:rPr>
            </w:pPr>
            <w:r w:rsidRPr="000F22FA">
              <w:rPr>
                <w:b/>
                <w:bCs/>
                <w:color w:val="000000"/>
                <w:sz w:val="20"/>
                <w:szCs w:val="20"/>
              </w:rPr>
              <w:t>161</w:t>
            </w:r>
          </w:p>
        </w:tc>
        <w:tc>
          <w:tcPr>
            <w:tcW w:w="787" w:type="dxa"/>
            <w:tcBorders>
              <w:top w:val="single" w:sz="4" w:space="0" w:color="auto"/>
              <w:left w:val="nil"/>
              <w:bottom w:val="nil"/>
              <w:right w:val="nil"/>
            </w:tcBorders>
            <w:shd w:val="clear" w:color="auto" w:fill="auto"/>
            <w:noWrap/>
            <w:vAlign w:val="bottom"/>
            <w:hideMark/>
          </w:tcPr>
          <w:p w14:paraId="5211841B" w14:textId="77777777" w:rsidR="00945E3B" w:rsidRPr="000F22FA" w:rsidRDefault="00945E3B" w:rsidP="00232640">
            <w:pPr>
              <w:spacing w:line="240" w:lineRule="auto"/>
              <w:jc w:val="right"/>
              <w:rPr>
                <w:b/>
                <w:bCs/>
                <w:color w:val="000000"/>
                <w:sz w:val="20"/>
                <w:szCs w:val="20"/>
              </w:rPr>
            </w:pPr>
            <w:r w:rsidRPr="000F22FA">
              <w:rPr>
                <w:b/>
                <w:bCs/>
                <w:color w:val="000000"/>
                <w:sz w:val="20"/>
                <w:szCs w:val="20"/>
              </w:rPr>
              <w:t>200</w:t>
            </w:r>
          </w:p>
        </w:tc>
        <w:tc>
          <w:tcPr>
            <w:tcW w:w="866" w:type="dxa"/>
            <w:tcBorders>
              <w:top w:val="single" w:sz="4" w:space="0" w:color="auto"/>
              <w:left w:val="nil"/>
              <w:bottom w:val="nil"/>
              <w:right w:val="nil"/>
            </w:tcBorders>
            <w:shd w:val="clear" w:color="auto" w:fill="auto"/>
            <w:noWrap/>
            <w:vAlign w:val="bottom"/>
            <w:hideMark/>
          </w:tcPr>
          <w:p w14:paraId="0505D289" w14:textId="77777777" w:rsidR="00945E3B" w:rsidRPr="000F22FA" w:rsidRDefault="00945E3B" w:rsidP="00232640">
            <w:pPr>
              <w:spacing w:line="240" w:lineRule="auto"/>
              <w:jc w:val="right"/>
              <w:rPr>
                <w:b/>
                <w:bCs/>
                <w:color w:val="000000"/>
                <w:sz w:val="20"/>
                <w:szCs w:val="20"/>
              </w:rPr>
            </w:pPr>
            <w:r w:rsidRPr="000F22FA">
              <w:rPr>
                <w:b/>
                <w:bCs/>
                <w:color w:val="000000"/>
                <w:sz w:val="20"/>
                <w:szCs w:val="20"/>
              </w:rPr>
              <w:t>213</w:t>
            </w:r>
          </w:p>
        </w:tc>
        <w:tc>
          <w:tcPr>
            <w:tcW w:w="847" w:type="dxa"/>
            <w:tcBorders>
              <w:top w:val="single" w:sz="4" w:space="0" w:color="auto"/>
              <w:left w:val="nil"/>
              <w:bottom w:val="nil"/>
              <w:right w:val="nil"/>
            </w:tcBorders>
            <w:shd w:val="clear" w:color="auto" w:fill="auto"/>
            <w:noWrap/>
            <w:vAlign w:val="bottom"/>
            <w:hideMark/>
          </w:tcPr>
          <w:p w14:paraId="4B6A7343" w14:textId="77777777" w:rsidR="00945E3B" w:rsidRPr="000F22FA" w:rsidRDefault="00945E3B" w:rsidP="00232640">
            <w:pPr>
              <w:spacing w:line="240" w:lineRule="auto"/>
              <w:jc w:val="right"/>
              <w:rPr>
                <w:b/>
                <w:bCs/>
                <w:color w:val="000000"/>
                <w:sz w:val="20"/>
                <w:szCs w:val="20"/>
              </w:rPr>
            </w:pPr>
            <w:r w:rsidRPr="000F22FA">
              <w:rPr>
                <w:b/>
                <w:bCs/>
                <w:color w:val="000000"/>
                <w:sz w:val="20"/>
                <w:szCs w:val="20"/>
              </w:rPr>
              <w:t>244</w:t>
            </w:r>
          </w:p>
        </w:tc>
      </w:tr>
    </w:tbl>
    <w:p w14:paraId="73D46894" w14:textId="77777777" w:rsidR="00945E3B" w:rsidRPr="00C22F35" w:rsidRDefault="00945E3B" w:rsidP="00945E3B">
      <w:pPr>
        <w:rPr>
          <w:i/>
          <w:sz w:val="16"/>
          <w:szCs w:val="16"/>
        </w:rPr>
      </w:pPr>
      <w:r w:rsidRPr="00C22F35">
        <w:rPr>
          <w:i/>
          <w:sz w:val="16"/>
          <w:szCs w:val="16"/>
        </w:rPr>
        <w:t>* door afronding op 0</w:t>
      </w:r>
    </w:p>
    <w:p w14:paraId="36BCDD2B" w14:textId="77777777" w:rsidR="00945E3B" w:rsidRPr="00A34E7E" w:rsidRDefault="00945E3B" w:rsidP="00945E3B">
      <w:pPr>
        <w:rPr>
          <w:szCs w:val="18"/>
        </w:rPr>
      </w:pPr>
    </w:p>
    <w:p w14:paraId="067D8794" w14:textId="77777777" w:rsidR="009F55AC" w:rsidRPr="00A34E7E" w:rsidRDefault="009F55AC" w:rsidP="003A320F">
      <w:pPr>
        <w:rPr>
          <w:szCs w:val="18"/>
        </w:rPr>
      </w:pPr>
    </w:p>
    <w:p w14:paraId="18C6DAC9" w14:textId="77777777" w:rsidR="00E11FDF" w:rsidRDefault="00E11FDF" w:rsidP="003A320F"/>
    <w:p w14:paraId="1FC41655" w14:textId="77777777" w:rsidR="007401F7" w:rsidRDefault="00F276D5" w:rsidP="003A320F">
      <w:r>
        <w:t xml:space="preserve">Tabel </w:t>
      </w:r>
      <w:r w:rsidR="007401F7">
        <w:t>2: overzicht verloop planbeoordeling</w:t>
      </w:r>
    </w:p>
    <w:p w14:paraId="40996F07" w14:textId="77777777" w:rsidR="007401F7" w:rsidRDefault="007401F7" w:rsidP="003A320F"/>
    <w:tbl>
      <w:tblPr>
        <w:tblStyle w:val="Tabelraster"/>
        <w:tblW w:w="0" w:type="auto"/>
        <w:tblLook w:val="04A0" w:firstRow="1" w:lastRow="0" w:firstColumn="1" w:lastColumn="0" w:noHBand="0" w:noVBand="1"/>
      </w:tblPr>
      <w:tblGrid>
        <w:gridCol w:w="3820"/>
        <w:gridCol w:w="683"/>
      </w:tblGrid>
      <w:tr w:rsidR="007401F7" w14:paraId="4E134D34" w14:textId="77777777" w:rsidTr="00E11FDF">
        <w:tc>
          <w:tcPr>
            <w:tcW w:w="3820" w:type="dxa"/>
          </w:tcPr>
          <w:p w14:paraId="59454991" w14:textId="77777777" w:rsidR="007401F7" w:rsidRPr="00E11FDF" w:rsidRDefault="007401F7" w:rsidP="003A320F">
            <w:pPr>
              <w:rPr>
                <w:b/>
              </w:rPr>
            </w:pPr>
            <w:r w:rsidRPr="00E11FDF">
              <w:rPr>
                <w:b/>
              </w:rPr>
              <w:t>Instellingen met een besluit</w:t>
            </w:r>
          </w:p>
        </w:tc>
        <w:tc>
          <w:tcPr>
            <w:tcW w:w="683" w:type="dxa"/>
          </w:tcPr>
          <w:p w14:paraId="52241A57" w14:textId="77777777" w:rsidR="007401F7" w:rsidRPr="00E11FDF" w:rsidRDefault="007401F7" w:rsidP="00E11FDF">
            <w:pPr>
              <w:jc w:val="right"/>
              <w:rPr>
                <w:b/>
              </w:rPr>
            </w:pPr>
            <w:r w:rsidRPr="00E11FDF">
              <w:rPr>
                <w:b/>
              </w:rPr>
              <w:t>18</w:t>
            </w:r>
          </w:p>
        </w:tc>
      </w:tr>
      <w:tr w:rsidR="007401F7" w14:paraId="517A8086" w14:textId="77777777" w:rsidTr="00E11FDF">
        <w:tc>
          <w:tcPr>
            <w:tcW w:w="3820" w:type="dxa"/>
          </w:tcPr>
          <w:p w14:paraId="55859650" w14:textId="77777777" w:rsidR="007401F7" w:rsidRDefault="007401F7" w:rsidP="003A320F">
            <w:r>
              <w:t>Waarvan positief</w:t>
            </w:r>
          </w:p>
        </w:tc>
        <w:tc>
          <w:tcPr>
            <w:tcW w:w="683" w:type="dxa"/>
          </w:tcPr>
          <w:p w14:paraId="00E44D6A" w14:textId="77777777" w:rsidR="007401F7" w:rsidRDefault="008A5EA8" w:rsidP="00E11FDF">
            <w:pPr>
              <w:jc w:val="right"/>
            </w:pPr>
            <w:r>
              <w:t>15</w:t>
            </w:r>
          </w:p>
        </w:tc>
      </w:tr>
      <w:tr w:rsidR="007401F7" w14:paraId="5C2A3B9A" w14:textId="77777777" w:rsidTr="00E11FDF">
        <w:tc>
          <w:tcPr>
            <w:tcW w:w="3820" w:type="dxa"/>
          </w:tcPr>
          <w:p w14:paraId="63A1642E" w14:textId="77777777" w:rsidR="007401F7" w:rsidRDefault="007401F7" w:rsidP="003A320F">
            <w:r>
              <w:t>Waarvan herkansing</w:t>
            </w:r>
          </w:p>
        </w:tc>
        <w:tc>
          <w:tcPr>
            <w:tcW w:w="683" w:type="dxa"/>
          </w:tcPr>
          <w:p w14:paraId="418D134D" w14:textId="77777777" w:rsidR="007401F7" w:rsidRDefault="008A5EA8" w:rsidP="00E11FDF">
            <w:pPr>
              <w:jc w:val="right"/>
            </w:pPr>
            <w:r>
              <w:t>3</w:t>
            </w:r>
          </w:p>
        </w:tc>
      </w:tr>
      <w:tr w:rsidR="007401F7" w14:paraId="795F987F" w14:textId="77777777" w:rsidTr="00E11FDF">
        <w:tc>
          <w:tcPr>
            <w:tcW w:w="3820" w:type="dxa"/>
          </w:tcPr>
          <w:p w14:paraId="5B3D597C" w14:textId="77777777" w:rsidR="007401F7" w:rsidRPr="00E11FDF" w:rsidRDefault="007401F7" w:rsidP="003A320F">
            <w:pPr>
              <w:rPr>
                <w:b/>
              </w:rPr>
            </w:pPr>
            <w:r w:rsidRPr="00E11FDF">
              <w:rPr>
                <w:b/>
              </w:rPr>
              <w:t xml:space="preserve">Instellingen met nog </w:t>
            </w:r>
            <w:r w:rsidR="00E5611B" w:rsidRPr="00E11FDF">
              <w:rPr>
                <w:b/>
              </w:rPr>
              <w:t>g</w:t>
            </w:r>
            <w:r w:rsidR="00E5611B">
              <w:rPr>
                <w:b/>
              </w:rPr>
              <w:t>een</w:t>
            </w:r>
            <w:r w:rsidRPr="00E11FDF">
              <w:rPr>
                <w:b/>
              </w:rPr>
              <w:t xml:space="preserve"> besluit</w:t>
            </w:r>
          </w:p>
        </w:tc>
        <w:tc>
          <w:tcPr>
            <w:tcW w:w="683" w:type="dxa"/>
          </w:tcPr>
          <w:p w14:paraId="5B9EE261" w14:textId="77777777" w:rsidR="007401F7" w:rsidRPr="00E11FDF" w:rsidRDefault="008A5EA8" w:rsidP="00E11FDF">
            <w:pPr>
              <w:jc w:val="right"/>
              <w:rPr>
                <w:b/>
              </w:rPr>
            </w:pPr>
            <w:r w:rsidRPr="00E11FDF">
              <w:rPr>
                <w:b/>
              </w:rPr>
              <w:t>36</w:t>
            </w:r>
          </w:p>
        </w:tc>
      </w:tr>
      <w:tr w:rsidR="007401F7" w14:paraId="0D58F735" w14:textId="77777777" w:rsidTr="00E11FDF">
        <w:tc>
          <w:tcPr>
            <w:tcW w:w="3820" w:type="dxa"/>
          </w:tcPr>
          <w:p w14:paraId="636A4A9A" w14:textId="77777777" w:rsidR="007401F7" w:rsidRDefault="007401F7" w:rsidP="003A320F">
            <w:r>
              <w:t>Waarvan nog in procedure bij de NVAO</w:t>
            </w:r>
          </w:p>
        </w:tc>
        <w:tc>
          <w:tcPr>
            <w:tcW w:w="683" w:type="dxa"/>
          </w:tcPr>
          <w:p w14:paraId="7FBCE98E" w14:textId="77777777" w:rsidR="007401F7" w:rsidRDefault="008A5EA8" w:rsidP="00E11FDF">
            <w:pPr>
              <w:jc w:val="right"/>
            </w:pPr>
            <w:r>
              <w:t>29</w:t>
            </w:r>
          </w:p>
        </w:tc>
      </w:tr>
      <w:tr w:rsidR="007401F7" w14:paraId="5B620B83" w14:textId="77777777" w:rsidTr="00E11FDF">
        <w:tc>
          <w:tcPr>
            <w:tcW w:w="3820" w:type="dxa"/>
          </w:tcPr>
          <w:p w14:paraId="2910613B" w14:textId="77777777" w:rsidR="007401F7" w:rsidRDefault="007401F7" w:rsidP="003A320F">
            <w:r>
              <w:t>Waarvan een negatief advies van de NVAO, maar nog in procedure bij OCW</w:t>
            </w:r>
          </w:p>
        </w:tc>
        <w:tc>
          <w:tcPr>
            <w:tcW w:w="683" w:type="dxa"/>
          </w:tcPr>
          <w:p w14:paraId="746ED804" w14:textId="77777777" w:rsidR="007401F7" w:rsidRDefault="008A5EA8" w:rsidP="00E11FDF">
            <w:pPr>
              <w:jc w:val="right"/>
            </w:pPr>
            <w:r>
              <w:t>7</w:t>
            </w:r>
          </w:p>
        </w:tc>
      </w:tr>
      <w:tr w:rsidR="008A5EA8" w14:paraId="0A2F8D26" w14:textId="77777777" w:rsidTr="00E11FDF">
        <w:tc>
          <w:tcPr>
            <w:tcW w:w="3820" w:type="dxa"/>
          </w:tcPr>
          <w:p w14:paraId="5B607662" w14:textId="77777777" w:rsidR="008A5EA8" w:rsidRPr="00E11FDF" w:rsidRDefault="008A5EA8" w:rsidP="003A320F">
            <w:pPr>
              <w:rPr>
                <w:b/>
                <w:i/>
              </w:rPr>
            </w:pPr>
            <w:r w:rsidRPr="00E11FDF">
              <w:rPr>
                <w:b/>
                <w:i/>
              </w:rPr>
              <w:t>Instellingen totaal</w:t>
            </w:r>
          </w:p>
        </w:tc>
        <w:tc>
          <w:tcPr>
            <w:tcW w:w="683" w:type="dxa"/>
          </w:tcPr>
          <w:p w14:paraId="1EAA669E" w14:textId="77777777" w:rsidR="008A5EA8" w:rsidRPr="00E11FDF" w:rsidRDefault="008A5EA8" w:rsidP="00E11FDF">
            <w:pPr>
              <w:jc w:val="right"/>
              <w:rPr>
                <w:b/>
                <w:i/>
              </w:rPr>
            </w:pPr>
            <w:r w:rsidRPr="00E11FDF">
              <w:rPr>
                <w:b/>
                <w:i/>
              </w:rPr>
              <w:t>54</w:t>
            </w:r>
          </w:p>
        </w:tc>
      </w:tr>
    </w:tbl>
    <w:p w14:paraId="5D46A4CC" w14:textId="77777777" w:rsidR="007401F7" w:rsidRDefault="007401F7" w:rsidP="003A320F"/>
    <w:p w14:paraId="7A2D1693" w14:textId="77777777" w:rsidR="007401F7" w:rsidRDefault="007401F7" w:rsidP="003A320F"/>
    <w:p w14:paraId="2EC7F7E5" w14:textId="77777777" w:rsidR="00D76C17" w:rsidRDefault="007401F7" w:rsidP="003A320F">
      <w:r>
        <w:t>Tabel 3</w:t>
      </w:r>
      <w:r w:rsidR="00F276D5">
        <w:t>: overzicht instellingen</w:t>
      </w:r>
      <w:r>
        <w:t xml:space="preserve"> met een besluit</w:t>
      </w:r>
    </w:p>
    <w:p w14:paraId="487DD4A6" w14:textId="77777777" w:rsidR="00F276D5" w:rsidRDefault="00F276D5" w:rsidP="003A320F"/>
    <w:tbl>
      <w:tblPr>
        <w:tblStyle w:val="Tabelraster"/>
        <w:tblW w:w="0" w:type="auto"/>
        <w:tblLook w:val="04A0" w:firstRow="1" w:lastRow="0" w:firstColumn="1" w:lastColumn="0" w:noHBand="0" w:noVBand="1"/>
      </w:tblPr>
      <w:tblGrid>
        <w:gridCol w:w="3820"/>
        <w:gridCol w:w="3820"/>
      </w:tblGrid>
      <w:tr w:rsidR="009322FB" w14:paraId="79E7259E" w14:textId="77777777" w:rsidTr="009322FB">
        <w:tc>
          <w:tcPr>
            <w:tcW w:w="3820" w:type="dxa"/>
            <w:shd w:val="pct12" w:color="auto" w:fill="auto"/>
          </w:tcPr>
          <w:p w14:paraId="1E53B096" w14:textId="77777777" w:rsidR="009322FB" w:rsidRPr="009322FB" w:rsidRDefault="009322FB" w:rsidP="003A320F">
            <w:pPr>
              <w:rPr>
                <w:b/>
              </w:rPr>
            </w:pPr>
            <w:r>
              <w:rPr>
                <w:b/>
              </w:rPr>
              <w:t>Instelling</w:t>
            </w:r>
          </w:p>
        </w:tc>
        <w:tc>
          <w:tcPr>
            <w:tcW w:w="3820" w:type="dxa"/>
            <w:shd w:val="pct12" w:color="auto" w:fill="auto"/>
          </w:tcPr>
          <w:p w14:paraId="0BAA1A86" w14:textId="77777777" w:rsidR="009322FB" w:rsidRDefault="009322FB" w:rsidP="003A320F">
            <w:pPr>
              <w:rPr>
                <w:b/>
              </w:rPr>
            </w:pPr>
            <w:r w:rsidRPr="009322FB">
              <w:rPr>
                <w:b/>
              </w:rPr>
              <w:t>Besluit</w:t>
            </w:r>
            <w:r w:rsidR="007D6F77">
              <w:rPr>
                <w:b/>
              </w:rPr>
              <w:t xml:space="preserve"> over het plan</w:t>
            </w:r>
            <w:r w:rsidR="007B37A5">
              <w:rPr>
                <w:b/>
              </w:rPr>
              <w:t>*</w:t>
            </w:r>
          </w:p>
          <w:p w14:paraId="17C84AB8" w14:textId="77777777" w:rsidR="009322FB" w:rsidRDefault="009322FB" w:rsidP="007B37A5"/>
        </w:tc>
      </w:tr>
      <w:tr w:rsidR="009322FB" w14:paraId="6C118DA4" w14:textId="77777777" w:rsidTr="009322FB">
        <w:tc>
          <w:tcPr>
            <w:tcW w:w="3820" w:type="dxa"/>
          </w:tcPr>
          <w:p w14:paraId="339B281E" w14:textId="77777777" w:rsidR="009322FB" w:rsidRPr="009322FB" w:rsidRDefault="009322FB" w:rsidP="000C305D">
            <w:r>
              <w:t>Maastricht University</w:t>
            </w:r>
          </w:p>
        </w:tc>
        <w:tc>
          <w:tcPr>
            <w:tcW w:w="3820" w:type="dxa"/>
          </w:tcPr>
          <w:p w14:paraId="625EDB57" w14:textId="77777777" w:rsidR="009322FB" w:rsidRDefault="009322FB" w:rsidP="007D6F77">
            <w:r>
              <w:t xml:space="preserve">Positief </w:t>
            </w:r>
          </w:p>
        </w:tc>
      </w:tr>
      <w:tr w:rsidR="009322FB" w14:paraId="6D1C2160" w14:textId="77777777" w:rsidTr="009322FB">
        <w:tc>
          <w:tcPr>
            <w:tcW w:w="3820" w:type="dxa"/>
          </w:tcPr>
          <w:p w14:paraId="7873C223" w14:textId="77777777" w:rsidR="009322FB" w:rsidRDefault="009322FB" w:rsidP="000C305D">
            <w:r>
              <w:t>Hogeschool Utrecht</w:t>
            </w:r>
          </w:p>
        </w:tc>
        <w:tc>
          <w:tcPr>
            <w:tcW w:w="3820" w:type="dxa"/>
          </w:tcPr>
          <w:p w14:paraId="0BEBB8C5" w14:textId="77777777" w:rsidR="009322FB" w:rsidRDefault="009322FB" w:rsidP="007D6F77">
            <w:r>
              <w:t>Herkansing</w:t>
            </w:r>
          </w:p>
        </w:tc>
      </w:tr>
      <w:tr w:rsidR="009322FB" w14:paraId="44177518" w14:textId="77777777" w:rsidTr="009322FB">
        <w:tc>
          <w:tcPr>
            <w:tcW w:w="3820" w:type="dxa"/>
          </w:tcPr>
          <w:p w14:paraId="6B394879" w14:textId="77777777" w:rsidR="009322FB" w:rsidRDefault="009322FB" w:rsidP="000C305D">
            <w:r>
              <w:t xml:space="preserve">HZ University of </w:t>
            </w:r>
            <w:proofErr w:type="spellStart"/>
            <w:r>
              <w:t>Applied</w:t>
            </w:r>
            <w:proofErr w:type="spellEnd"/>
            <w:r>
              <w:t xml:space="preserve"> Science</w:t>
            </w:r>
            <w:r w:rsidR="007D6F77">
              <w:t>s</w:t>
            </w:r>
          </w:p>
        </w:tc>
        <w:tc>
          <w:tcPr>
            <w:tcW w:w="3820" w:type="dxa"/>
          </w:tcPr>
          <w:p w14:paraId="0F9E39AE" w14:textId="77777777" w:rsidR="009322FB" w:rsidRDefault="009322FB" w:rsidP="007D6F77">
            <w:r>
              <w:t xml:space="preserve">Positief </w:t>
            </w:r>
          </w:p>
        </w:tc>
      </w:tr>
      <w:tr w:rsidR="009322FB" w14:paraId="13189432" w14:textId="77777777" w:rsidTr="009322FB">
        <w:tc>
          <w:tcPr>
            <w:tcW w:w="3820" w:type="dxa"/>
          </w:tcPr>
          <w:p w14:paraId="52F3EBFD" w14:textId="77777777" w:rsidR="009322FB" w:rsidRDefault="009322FB" w:rsidP="000C305D">
            <w:r>
              <w:t>Universiteit Leiden</w:t>
            </w:r>
          </w:p>
        </w:tc>
        <w:tc>
          <w:tcPr>
            <w:tcW w:w="3820" w:type="dxa"/>
          </w:tcPr>
          <w:p w14:paraId="72B133AE" w14:textId="77777777" w:rsidR="009322FB" w:rsidRDefault="009322FB" w:rsidP="007D6F77">
            <w:r>
              <w:t xml:space="preserve">Positief </w:t>
            </w:r>
          </w:p>
        </w:tc>
      </w:tr>
      <w:tr w:rsidR="009322FB" w14:paraId="19EB0ED8" w14:textId="77777777" w:rsidTr="009322FB">
        <w:tc>
          <w:tcPr>
            <w:tcW w:w="3820" w:type="dxa"/>
          </w:tcPr>
          <w:p w14:paraId="30FA10EA" w14:textId="77777777" w:rsidR="009322FB" w:rsidRDefault="009322FB" w:rsidP="000C305D">
            <w:r>
              <w:t>Rijksuniversiteit Groningen</w:t>
            </w:r>
          </w:p>
        </w:tc>
        <w:tc>
          <w:tcPr>
            <w:tcW w:w="3820" w:type="dxa"/>
          </w:tcPr>
          <w:p w14:paraId="0467B72E" w14:textId="77777777" w:rsidR="009322FB" w:rsidRDefault="009322FB" w:rsidP="007D6F77">
            <w:r>
              <w:t xml:space="preserve">Positief </w:t>
            </w:r>
          </w:p>
        </w:tc>
      </w:tr>
      <w:tr w:rsidR="009322FB" w14:paraId="5007EFC7" w14:textId="77777777" w:rsidTr="009322FB">
        <w:tc>
          <w:tcPr>
            <w:tcW w:w="3820" w:type="dxa"/>
          </w:tcPr>
          <w:p w14:paraId="69A5319C" w14:textId="77777777" w:rsidR="009322FB" w:rsidRDefault="009322FB" w:rsidP="000C305D">
            <w:r>
              <w:t>Gerrit Rietveld Academie</w:t>
            </w:r>
          </w:p>
        </w:tc>
        <w:tc>
          <w:tcPr>
            <w:tcW w:w="3820" w:type="dxa"/>
          </w:tcPr>
          <w:p w14:paraId="016D0FE8" w14:textId="77777777" w:rsidR="009322FB" w:rsidRDefault="009322FB" w:rsidP="007D6F77">
            <w:r>
              <w:t>Herkansing</w:t>
            </w:r>
          </w:p>
        </w:tc>
      </w:tr>
      <w:tr w:rsidR="009322FB" w14:paraId="0A532B31" w14:textId="77777777" w:rsidTr="009322FB">
        <w:tc>
          <w:tcPr>
            <w:tcW w:w="3820" w:type="dxa"/>
          </w:tcPr>
          <w:p w14:paraId="5B867D7C" w14:textId="77777777" w:rsidR="009322FB" w:rsidRDefault="009322FB" w:rsidP="000C305D">
            <w:r>
              <w:t>Technische Universiteit Delft</w:t>
            </w:r>
          </w:p>
        </w:tc>
        <w:tc>
          <w:tcPr>
            <w:tcW w:w="3820" w:type="dxa"/>
          </w:tcPr>
          <w:p w14:paraId="5188DB55" w14:textId="77777777" w:rsidR="009322FB" w:rsidRDefault="009322FB" w:rsidP="007D6F77">
            <w:r>
              <w:t xml:space="preserve">Positief </w:t>
            </w:r>
          </w:p>
        </w:tc>
      </w:tr>
      <w:tr w:rsidR="009322FB" w14:paraId="26AF96FF" w14:textId="77777777" w:rsidTr="009322FB">
        <w:tc>
          <w:tcPr>
            <w:tcW w:w="3820" w:type="dxa"/>
          </w:tcPr>
          <w:p w14:paraId="33ACAC13" w14:textId="77777777" w:rsidR="009322FB" w:rsidRDefault="007D6F77" w:rsidP="000C305D">
            <w:r>
              <w:t xml:space="preserve">Hogeschool </w:t>
            </w:r>
            <w:proofErr w:type="spellStart"/>
            <w:r>
              <w:t>Viaa</w:t>
            </w:r>
            <w:proofErr w:type="spellEnd"/>
          </w:p>
        </w:tc>
        <w:tc>
          <w:tcPr>
            <w:tcW w:w="3820" w:type="dxa"/>
          </w:tcPr>
          <w:p w14:paraId="0252345D" w14:textId="77777777" w:rsidR="009322FB" w:rsidRDefault="009322FB" w:rsidP="007D6F77">
            <w:r>
              <w:t>Herkansing</w:t>
            </w:r>
          </w:p>
        </w:tc>
      </w:tr>
      <w:tr w:rsidR="009322FB" w14:paraId="118C7ACA" w14:textId="77777777" w:rsidTr="009322FB">
        <w:tc>
          <w:tcPr>
            <w:tcW w:w="3820" w:type="dxa"/>
          </w:tcPr>
          <w:p w14:paraId="39408BDB" w14:textId="77777777" w:rsidR="009322FB" w:rsidRDefault="009322FB" w:rsidP="000C305D">
            <w:r>
              <w:t>Theologische Universiteit Apeldoorn</w:t>
            </w:r>
          </w:p>
        </w:tc>
        <w:tc>
          <w:tcPr>
            <w:tcW w:w="3820" w:type="dxa"/>
          </w:tcPr>
          <w:p w14:paraId="7C422B85" w14:textId="77777777" w:rsidR="009322FB" w:rsidRDefault="009322FB" w:rsidP="007D6F77">
            <w:r>
              <w:t xml:space="preserve">Positief </w:t>
            </w:r>
          </w:p>
        </w:tc>
      </w:tr>
      <w:tr w:rsidR="009322FB" w14:paraId="12DAFE66" w14:textId="77777777" w:rsidTr="009322FB">
        <w:tc>
          <w:tcPr>
            <w:tcW w:w="3820" w:type="dxa"/>
          </w:tcPr>
          <w:p w14:paraId="554F5965" w14:textId="77777777" w:rsidR="009322FB" w:rsidRDefault="009322FB" w:rsidP="000C305D">
            <w:r>
              <w:t>Open Universiteit</w:t>
            </w:r>
          </w:p>
        </w:tc>
        <w:tc>
          <w:tcPr>
            <w:tcW w:w="3820" w:type="dxa"/>
          </w:tcPr>
          <w:p w14:paraId="60255281" w14:textId="77777777" w:rsidR="009322FB" w:rsidRDefault="009322FB" w:rsidP="007D6F77">
            <w:r>
              <w:t xml:space="preserve">Positief </w:t>
            </w:r>
          </w:p>
        </w:tc>
      </w:tr>
      <w:tr w:rsidR="009322FB" w14:paraId="2DC4869A" w14:textId="77777777" w:rsidTr="009322FB">
        <w:tc>
          <w:tcPr>
            <w:tcW w:w="3820" w:type="dxa"/>
          </w:tcPr>
          <w:p w14:paraId="765E593B" w14:textId="77777777" w:rsidR="009322FB" w:rsidRDefault="009322FB" w:rsidP="000C305D">
            <w:proofErr w:type="spellStart"/>
            <w:r>
              <w:t>Codarts</w:t>
            </w:r>
            <w:proofErr w:type="spellEnd"/>
            <w:r>
              <w:t>, Hogeschool voor de Kunsten</w:t>
            </w:r>
          </w:p>
        </w:tc>
        <w:tc>
          <w:tcPr>
            <w:tcW w:w="3820" w:type="dxa"/>
          </w:tcPr>
          <w:p w14:paraId="1C9225E5" w14:textId="77777777" w:rsidR="009322FB" w:rsidRDefault="009322FB" w:rsidP="007D6F77">
            <w:r>
              <w:t xml:space="preserve">Positief </w:t>
            </w:r>
          </w:p>
        </w:tc>
      </w:tr>
      <w:tr w:rsidR="009322FB" w14:paraId="2040EDC4" w14:textId="77777777" w:rsidTr="009322FB">
        <w:tc>
          <w:tcPr>
            <w:tcW w:w="3820" w:type="dxa"/>
          </w:tcPr>
          <w:p w14:paraId="676C9590" w14:textId="77777777" w:rsidR="009322FB" w:rsidRDefault="009322FB" w:rsidP="000C305D">
            <w:r>
              <w:t>Universiteit Utrecht</w:t>
            </w:r>
          </w:p>
        </w:tc>
        <w:tc>
          <w:tcPr>
            <w:tcW w:w="3820" w:type="dxa"/>
          </w:tcPr>
          <w:p w14:paraId="4BB2AA6D" w14:textId="77777777" w:rsidR="009322FB" w:rsidRDefault="009322FB" w:rsidP="007D6F77">
            <w:r>
              <w:t xml:space="preserve">Positief </w:t>
            </w:r>
          </w:p>
        </w:tc>
      </w:tr>
      <w:tr w:rsidR="009322FB" w14:paraId="51C618DA" w14:textId="77777777" w:rsidTr="009322FB">
        <w:tc>
          <w:tcPr>
            <w:tcW w:w="3820" w:type="dxa"/>
          </w:tcPr>
          <w:p w14:paraId="75EE4DB1" w14:textId="77777777" w:rsidR="009322FB" w:rsidRDefault="009322FB" w:rsidP="000C305D">
            <w:r>
              <w:t>Theologische Universiteit v/d Gereformeerde Kerken (</w:t>
            </w:r>
            <w:proofErr w:type="spellStart"/>
            <w:r>
              <w:t>vrijg</w:t>
            </w:r>
            <w:proofErr w:type="spellEnd"/>
            <w:r>
              <w:t>.) Ned.</w:t>
            </w:r>
          </w:p>
        </w:tc>
        <w:tc>
          <w:tcPr>
            <w:tcW w:w="3820" w:type="dxa"/>
          </w:tcPr>
          <w:p w14:paraId="5227892B" w14:textId="77777777" w:rsidR="009322FB" w:rsidRDefault="009322FB" w:rsidP="007D6F77">
            <w:r>
              <w:t xml:space="preserve">Positief </w:t>
            </w:r>
          </w:p>
        </w:tc>
      </w:tr>
      <w:tr w:rsidR="009322FB" w14:paraId="368CD49E" w14:textId="77777777" w:rsidTr="009322FB">
        <w:tc>
          <w:tcPr>
            <w:tcW w:w="3820" w:type="dxa"/>
          </w:tcPr>
          <w:p w14:paraId="37B4420E" w14:textId="77777777" w:rsidR="009322FB" w:rsidRDefault="009322FB" w:rsidP="000C305D">
            <w:r>
              <w:t>Radboud Universiteit Nijmegen</w:t>
            </w:r>
          </w:p>
        </w:tc>
        <w:tc>
          <w:tcPr>
            <w:tcW w:w="3820" w:type="dxa"/>
          </w:tcPr>
          <w:p w14:paraId="1956EB47" w14:textId="77777777" w:rsidR="009322FB" w:rsidRDefault="009322FB" w:rsidP="007D6F77">
            <w:r>
              <w:t xml:space="preserve">Positief </w:t>
            </w:r>
          </w:p>
        </w:tc>
      </w:tr>
      <w:tr w:rsidR="000C305D" w14:paraId="03EC9512" w14:textId="77777777" w:rsidTr="009322FB">
        <w:tc>
          <w:tcPr>
            <w:tcW w:w="3820" w:type="dxa"/>
          </w:tcPr>
          <w:p w14:paraId="53C5725C" w14:textId="77777777" w:rsidR="000C305D" w:rsidRDefault="000C305D" w:rsidP="000C305D">
            <w:r>
              <w:lastRenderedPageBreak/>
              <w:t>Protestantse Theologische Universiteit</w:t>
            </w:r>
          </w:p>
        </w:tc>
        <w:tc>
          <w:tcPr>
            <w:tcW w:w="3820" w:type="dxa"/>
          </w:tcPr>
          <w:p w14:paraId="58C11FC4" w14:textId="77777777" w:rsidR="000C305D" w:rsidRDefault="000C305D" w:rsidP="007D6F77">
            <w:r>
              <w:t>Positief</w:t>
            </w:r>
          </w:p>
        </w:tc>
      </w:tr>
      <w:tr w:rsidR="000C305D" w14:paraId="3955E38A" w14:textId="77777777" w:rsidTr="009322FB">
        <w:tc>
          <w:tcPr>
            <w:tcW w:w="3820" w:type="dxa"/>
          </w:tcPr>
          <w:p w14:paraId="261F987A" w14:textId="77777777" w:rsidR="000C305D" w:rsidRDefault="000C305D" w:rsidP="000C305D">
            <w:r>
              <w:t>Hogeschool voor de Kunsten Utrecht</w:t>
            </w:r>
          </w:p>
        </w:tc>
        <w:tc>
          <w:tcPr>
            <w:tcW w:w="3820" w:type="dxa"/>
          </w:tcPr>
          <w:p w14:paraId="252937FE" w14:textId="77777777" w:rsidR="000C305D" w:rsidRDefault="000C305D" w:rsidP="007D6F77">
            <w:r>
              <w:t>Positief</w:t>
            </w:r>
          </w:p>
        </w:tc>
      </w:tr>
      <w:tr w:rsidR="000C305D" w14:paraId="7D7DC8E8" w14:textId="77777777" w:rsidTr="009322FB">
        <w:tc>
          <w:tcPr>
            <w:tcW w:w="3820" w:type="dxa"/>
          </w:tcPr>
          <w:p w14:paraId="2F06FDED" w14:textId="77777777" w:rsidR="000C305D" w:rsidRDefault="000C305D" w:rsidP="000C305D">
            <w:r>
              <w:t>Marnix Academie</w:t>
            </w:r>
          </w:p>
        </w:tc>
        <w:tc>
          <w:tcPr>
            <w:tcW w:w="3820" w:type="dxa"/>
          </w:tcPr>
          <w:p w14:paraId="3A4829F1" w14:textId="77777777" w:rsidR="000C305D" w:rsidRDefault="000C305D" w:rsidP="007D6F77">
            <w:r>
              <w:t>Positief</w:t>
            </w:r>
          </w:p>
        </w:tc>
      </w:tr>
      <w:tr w:rsidR="000C305D" w14:paraId="1AC0F494" w14:textId="77777777" w:rsidTr="009322FB">
        <w:tc>
          <w:tcPr>
            <w:tcW w:w="3820" w:type="dxa"/>
          </w:tcPr>
          <w:p w14:paraId="5D915BA0" w14:textId="77777777" w:rsidR="000C305D" w:rsidRDefault="000C305D" w:rsidP="000C305D">
            <w:r>
              <w:t>Hogeschool INHOLLAND</w:t>
            </w:r>
          </w:p>
        </w:tc>
        <w:tc>
          <w:tcPr>
            <w:tcW w:w="3820" w:type="dxa"/>
          </w:tcPr>
          <w:p w14:paraId="2C74DFF8" w14:textId="77777777" w:rsidR="000C305D" w:rsidRDefault="000C305D" w:rsidP="007D6F77">
            <w:r>
              <w:t>Positief</w:t>
            </w:r>
          </w:p>
        </w:tc>
      </w:tr>
    </w:tbl>
    <w:p w14:paraId="7773902E" w14:textId="77777777" w:rsidR="007B37A5" w:rsidRPr="007B37A5" w:rsidRDefault="007B37A5" w:rsidP="007B37A5">
      <w:pPr>
        <w:rPr>
          <w:i/>
          <w:sz w:val="16"/>
          <w:szCs w:val="16"/>
        </w:rPr>
      </w:pPr>
      <w:r w:rsidRPr="007B37A5">
        <w:rPr>
          <w:i/>
          <w:sz w:val="16"/>
          <w:szCs w:val="16"/>
        </w:rPr>
        <w:t xml:space="preserve">* positief plan = toekenning studievoorschotmiddelen 2021 t/m 2024; herkansing = </w:t>
      </w:r>
      <w:r w:rsidR="00A80A06">
        <w:rPr>
          <w:i/>
          <w:sz w:val="16"/>
          <w:szCs w:val="16"/>
        </w:rPr>
        <w:t xml:space="preserve">een negatief besluit, dus </w:t>
      </w:r>
      <w:r w:rsidRPr="007B37A5">
        <w:rPr>
          <w:i/>
          <w:sz w:val="16"/>
          <w:szCs w:val="16"/>
        </w:rPr>
        <w:t>een jaar de tijd om plan te verbeteren.</w:t>
      </w:r>
    </w:p>
    <w:p w14:paraId="276F1A51" w14:textId="77777777" w:rsidR="007B37A5" w:rsidRDefault="007B37A5" w:rsidP="007B37A5"/>
    <w:sectPr w:rsidR="007B37A5" w:rsidSect="002F493B">
      <w:headerReference w:type="default" r:id="rId11"/>
      <w:footerReference w:type="default" r:id="rId12"/>
      <w:headerReference w:type="first" r:id="rId13"/>
      <w:footerReference w:type="first" r:id="rId14"/>
      <w:pgSz w:w="11906" w:h="16838" w:code="9"/>
      <w:pgMar w:top="2682" w:right="2818" w:bottom="1077" w:left="1588" w:header="2625" w:footer="289" w:gutter="0"/>
      <w:paperSrc w:first="1" w:other="3"/>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173C6A" w14:textId="77777777" w:rsidR="00B143B0" w:rsidRDefault="00B143B0">
      <w:pPr>
        <w:spacing w:line="240" w:lineRule="auto"/>
      </w:pPr>
      <w:r>
        <w:separator/>
      </w:r>
    </w:p>
  </w:endnote>
  <w:endnote w:type="continuationSeparator" w:id="0">
    <w:p w14:paraId="198CF795" w14:textId="77777777" w:rsidR="00B143B0" w:rsidRDefault="00B143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DE5EA"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520C5B" w14:paraId="726605CA" w14:textId="77777777" w:rsidTr="004C7E1D">
      <w:trPr>
        <w:trHeight w:hRule="exact" w:val="357"/>
      </w:trPr>
      <w:tc>
        <w:tcPr>
          <w:tcW w:w="7603" w:type="dxa"/>
          <w:shd w:val="clear" w:color="auto" w:fill="auto"/>
        </w:tcPr>
        <w:p w14:paraId="4389F0FD" w14:textId="77777777" w:rsidR="002F71BB" w:rsidRPr="004C7E1D" w:rsidRDefault="002F71BB" w:rsidP="004C7E1D">
          <w:pPr>
            <w:spacing w:line="180" w:lineRule="exact"/>
            <w:rPr>
              <w:sz w:val="13"/>
              <w:szCs w:val="13"/>
            </w:rPr>
          </w:pPr>
        </w:p>
      </w:tc>
      <w:tc>
        <w:tcPr>
          <w:tcW w:w="2172" w:type="dxa"/>
          <w:shd w:val="clear" w:color="auto" w:fill="auto"/>
        </w:tcPr>
        <w:p w14:paraId="1DEEEF7B" w14:textId="77777777" w:rsidR="002F71BB" w:rsidRPr="004C7E1D" w:rsidRDefault="00A956E4" w:rsidP="002F258D">
          <w:pPr>
            <w:pStyle w:val="Huisstijl-Gegeven"/>
            <w:rPr>
              <w:szCs w:val="13"/>
            </w:rPr>
          </w:pPr>
          <w:r>
            <w:rPr>
              <w:szCs w:val="13"/>
            </w:rPr>
            <w:t>Pagina</w:t>
          </w:r>
          <w:r w:rsidRPr="004C7E1D">
            <w:rPr>
              <w:szCs w:val="13"/>
            </w:rPr>
            <w:t xml:space="preserve"> </w:t>
          </w:r>
          <w:r w:rsidRPr="004C7E1D">
            <w:rPr>
              <w:szCs w:val="13"/>
            </w:rPr>
            <w:fldChar w:fldCharType="begin"/>
          </w:r>
          <w:r w:rsidRPr="004C7E1D">
            <w:rPr>
              <w:szCs w:val="13"/>
            </w:rPr>
            <w:instrText xml:space="preserve"> PAGE  \* Arabic  \* MERGEFORMAT </w:instrText>
          </w:r>
          <w:r w:rsidRPr="004C7E1D">
            <w:rPr>
              <w:szCs w:val="13"/>
            </w:rPr>
            <w:fldChar w:fldCharType="separate"/>
          </w:r>
          <w:r w:rsidR="0089078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747672">
            <w:rPr>
              <w:szCs w:val="13"/>
            </w:rPr>
            <w:t>8</w:t>
          </w:r>
          <w:r w:rsidRPr="004C7E1D">
            <w:rPr>
              <w:szCs w:val="13"/>
            </w:rPr>
            <w:fldChar w:fldCharType="end"/>
          </w:r>
        </w:p>
      </w:tc>
    </w:tr>
  </w:tbl>
  <w:p w14:paraId="4EF91ADB" w14:textId="77777777" w:rsidR="00527BD4" w:rsidRPr="002F71BB" w:rsidRDefault="00527BD4" w:rsidP="002F71BB">
    <w:pPr>
      <w:spacing w:line="180" w:lineRule="exact"/>
      <w:rPr>
        <w:sz w:val="13"/>
        <w:szCs w:val="1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69" w:type="dxa"/>
      <w:tblLook w:val="01E0" w:firstRow="1" w:lastRow="1" w:firstColumn="1" w:lastColumn="1" w:noHBand="0" w:noVBand="0"/>
    </w:tblPr>
    <w:tblGrid>
      <w:gridCol w:w="7709"/>
      <w:gridCol w:w="2060"/>
    </w:tblGrid>
    <w:tr w:rsidR="00520C5B" w14:paraId="64E8DB0E" w14:textId="77777777" w:rsidTr="004C7E1D">
      <w:trPr>
        <w:trHeight w:hRule="exact" w:val="357"/>
      </w:trPr>
      <w:tc>
        <w:tcPr>
          <w:tcW w:w="7709" w:type="dxa"/>
          <w:shd w:val="clear" w:color="auto" w:fill="auto"/>
        </w:tcPr>
        <w:p w14:paraId="39B9855B" w14:textId="77777777" w:rsidR="00D17084" w:rsidRPr="004C7E1D" w:rsidRDefault="00D17084" w:rsidP="004C7E1D">
          <w:pPr>
            <w:spacing w:line="180" w:lineRule="exact"/>
            <w:rPr>
              <w:sz w:val="13"/>
              <w:szCs w:val="13"/>
            </w:rPr>
          </w:pPr>
        </w:p>
      </w:tc>
      <w:tc>
        <w:tcPr>
          <w:tcW w:w="2060" w:type="dxa"/>
          <w:shd w:val="clear" w:color="auto" w:fill="auto"/>
        </w:tcPr>
        <w:p w14:paraId="1D3DBF84" w14:textId="77777777" w:rsidR="00D17084" w:rsidRPr="004C7E1D" w:rsidRDefault="00A956E4" w:rsidP="0026686B">
          <w:pPr>
            <w:pStyle w:val="Huisstijl-Gegeven"/>
            <w:rPr>
              <w:szCs w:val="13"/>
            </w:rPr>
          </w:pPr>
          <w:r>
            <w:rPr>
              <w:szCs w:val="13"/>
            </w:rPr>
            <w:t>Pagina</w:t>
          </w:r>
          <w:r w:rsidRPr="004C7E1D">
            <w:rPr>
              <w:szCs w:val="13"/>
            </w:rPr>
            <w:t xml:space="preserve"> </w:t>
          </w:r>
          <w:r w:rsidRPr="004C7E1D">
            <w:rPr>
              <w:szCs w:val="13"/>
            </w:rPr>
            <w:fldChar w:fldCharType="begin"/>
          </w:r>
          <w:r w:rsidRPr="004C7E1D">
            <w:rPr>
              <w:szCs w:val="13"/>
            </w:rPr>
            <w:instrText xml:space="preserve"> PAGE  \* Arabic  \* MERGEFORMAT </w:instrText>
          </w:r>
          <w:r w:rsidRPr="004C7E1D">
            <w:rPr>
              <w:szCs w:val="13"/>
            </w:rPr>
            <w:fldChar w:fldCharType="separate"/>
          </w:r>
          <w:r w:rsidR="0089078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747672">
            <w:rPr>
              <w:szCs w:val="13"/>
            </w:rPr>
            <w:t>8</w:t>
          </w:r>
          <w:r w:rsidRPr="004C7E1D">
            <w:rPr>
              <w:szCs w:val="13"/>
            </w:rPr>
            <w:fldChar w:fldCharType="end"/>
          </w:r>
        </w:p>
      </w:tc>
    </w:tr>
  </w:tbl>
  <w:p w14:paraId="54289974"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27036B" w14:textId="77777777" w:rsidR="00B143B0" w:rsidRDefault="00B143B0">
      <w:pPr>
        <w:spacing w:line="240" w:lineRule="auto"/>
      </w:pPr>
      <w:r>
        <w:separator/>
      </w:r>
    </w:p>
  </w:footnote>
  <w:footnote w:type="continuationSeparator" w:id="0">
    <w:p w14:paraId="61A3BF7C" w14:textId="77777777" w:rsidR="00B143B0" w:rsidRDefault="00B143B0">
      <w:pPr>
        <w:spacing w:line="240" w:lineRule="auto"/>
      </w:pPr>
      <w:r>
        <w:continuationSeparator/>
      </w:r>
    </w:p>
  </w:footnote>
  <w:footnote w:id="1">
    <w:p w14:paraId="4FCA5A09" w14:textId="77777777" w:rsidR="006468C0" w:rsidRDefault="006468C0">
      <w:pPr>
        <w:pStyle w:val="Voetnoottekst"/>
      </w:pPr>
      <w:r>
        <w:rPr>
          <w:rStyle w:val="Voetnootmarkering"/>
        </w:rPr>
        <w:footnoteRef/>
      </w:r>
      <w:r>
        <w:t xml:space="preserve"> </w:t>
      </w:r>
      <w:r w:rsidRPr="00444986">
        <w:rPr>
          <w:sz w:val="16"/>
        </w:rPr>
        <w:t>Tweede Kamer, vergaderjaar 2017-2018, 31 288, nr. 621</w:t>
      </w:r>
    </w:p>
  </w:footnote>
  <w:footnote w:id="2">
    <w:p w14:paraId="20ECF8E4" w14:textId="77777777" w:rsidR="00863B45" w:rsidRDefault="00863B45" w:rsidP="00863B45">
      <w:pPr>
        <w:pStyle w:val="Voetnoottekst"/>
      </w:pPr>
      <w:r>
        <w:rPr>
          <w:rStyle w:val="Voetnootmarkering"/>
        </w:rPr>
        <w:footnoteRef/>
      </w:r>
      <w:r>
        <w:t xml:space="preserve"> </w:t>
      </w:r>
      <w:r w:rsidRPr="00A825C1">
        <w:rPr>
          <w:sz w:val="16"/>
          <w:szCs w:val="18"/>
        </w:rPr>
        <w:t>Tweede Kamer, vergaderjaar 2018–2019, 31 288, nr. 663</w:t>
      </w:r>
    </w:p>
  </w:footnote>
  <w:footnote w:id="3">
    <w:p w14:paraId="3E1512B4" w14:textId="77777777" w:rsidR="00E46B18" w:rsidRPr="00B630FE" w:rsidRDefault="00E46B18" w:rsidP="00E46B18">
      <w:pPr>
        <w:pStyle w:val="Voetnoottekst"/>
        <w:rPr>
          <w:sz w:val="16"/>
          <w:szCs w:val="16"/>
        </w:rPr>
      </w:pPr>
      <w:r w:rsidRPr="00B630FE">
        <w:rPr>
          <w:rStyle w:val="Voetnootmarkering"/>
          <w:sz w:val="16"/>
          <w:szCs w:val="16"/>
        </w:rPr>
        <w:footnoteRef/>
      </w:r>
      <w:r w:rsidRPr="00B630FE">
        <w:rPr>
          <w:sz w:val="16"/>
          <w:szCs w:val="16"/>
        </w:rPr>
        <w:t xml:space="preserve"> https://www.vsnu.nl/kwaliteitsafspraken.html</w:t>
      </w:r>
    </w:p>
  </w:footnote>
  <w:footnote w:id="4">
    <w:p w14:paraId="497B4EFE" w14:textId="77777777" w:rsidR="00495084" w:rsidRDefault="00495084">
      <w:pPr>
        <w:pStyle w:val="Voetnoottekst"/>
      </w:pPr>
      <w:r>
        <w:rPr>
          <w:rStyle w:val="Voetnootmarkering"/>
        </w:rPr>
        <w:footnoteRef/>
      </w:r>
      <w:r>
        <w:t xml:space="preserve"> </w:t>
      </w:r>
      <w:hyperlink r:id="rId1" w:history="1">
        <w:r w:rsidR="006C717D" w:rsidRPr="006C717D">
          <w:rPr>
            <w:rStyle w:val="Hyperlink"/>
            <w:sz w:val="16"/>
          </w:rPr>
          <w:t>https://rijksoverheid.nl/kwaliteitsafspraken-hoger-onderwijs</w:t>
        </w:r>
      </w:hyperlink>
    </w:p>
  </w:footnote>
  <w:footnote w:id="5">
    <w:p w14:paraId="1A924AAE" w14:textId="77777777" w:rsidR="00C8138E" w:rsidRPr="007C0C17" w:rsidRDefault="00C8138E" w:rsidP="00C8138E">
      <w:pPr>
        <w:pStyle w:val="Voetnoottekst"/>
        <w:rPr>
          <w:sz w:val="16"/>
          <w:szCs w:val="16"/>
        </w:rPr>
      </w:pPr>
      <w:r>
        <w:rPr>
          <w:rStyle w:val="Voetnootmarkering"/>
        </w:rPr>
        <w:footnoteRef/>
      </w:r>
      <w:r>
        <w:t xml:space="preserve"> </w:t>
      </w:r>
      <w:hyperlink r:id="rId2" w:history="1">
        <w:r w:rsidRPr="00CC3548">
          <w:rPr>
            <w:rStyle w:val="Hyperlink"/>
            <w:sz w:val="16"/>
            <w:szCs w:val="16"/>
          </w:rPr>
          <w:t>https://www.vsnu.nl/kwaliteitsafspraken.html</w:t>
        </w:r>
      </w:hyperlink>
    </w:p>
  </w:footnote>
  <w:footnote w:id="6">
    <w:p w14:paraId="7947B7F8" w14:textId="77777777" w:rsidR="00C363C6" w:rsidRPr="00C363C6" w:rsidRDefault="00C363C6">
      <w:pPr>
        <w:pStyle w:val="Voetnoottekst"/>
        <w:rPr>
          <w:sz w:val="16"/>
          <w:szCs w:val="16"/>
        </w:rPr>
      </w:pPr>
      <w:r w:rsidRPr="00C363C6">
        <w:rPr>
          <w:rStyle w:val="Voetnootmarkering"/>
          <w:sz w:val="16"/>
          <w:szCs w:val="16"/>
        </w:rPr>
        <w:footnoteRef/>
      </w:r>
      <w:r w:rsidRPr="00C363C6">
        <w:rPr>
          <w:sz w:val="16"/>
          <w:szCs w:val="16"/>
        </w:rPr>
        <w:t xml:space="preserve"> Jaarlijks georganiseerd door het ISO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518" w:type="dxa"/>
      <w:tblLayout w:type="fixed"/>
      <w:tblCellMar>
        <w:left w:w="0" w:type="dxa"/>
        <w:right w:w="0" w:type="dxa"/>
      </w:tblCellMar>
      <w:tblLook w:val="0000" w:firstRow="0" w:lastRow="0" w:firstColumn="0" w:lastColumn="0" w:noHBand="0" w:noVBand="0"/>
    </w:tblPr>
    <w:tblGrid>
      <w:gridCol w:w="7518"/>
    </w:tblGrid>
    <w:tr w:rsidR="00520C5B" w14:paraId="6682FF71" w14:textId="77777777" w:rsidTr="006D2D53">
      <w:trPr>
        <w:trHeight w:hRule="exact" w:val="400"/>
      </w:trPr>
      <w:tc>
        <w:tcPr>
          <w:tcW w:w="7518" w:type="dxa"/>
          <w:shd w:val="clear" w:color="auto" w:fill="auto"/>
        </w:tcPr>
        <w:p w14:paraId="14218F4B" w14:textId="77777777" w:rsidR="00527BD4" w:rsidRPr="00275984" w:rsidRDefault="00527BD4" w:rsidP="00BF4427">
          <w:pPr>
            <w:pStyle w:val="Huisstijl-Rubricering"/>
          </w:pPr>
        </w:p>
      </w:tc>
    </w:tr>
  </w:tbl>
  <w:p w14:paraId="4A8E9207"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520C5B" w14:paraId="3AE6EE43" w14:textId="77777777" w:rsidTr="003B528D">
      <w:tc>
        <w:tcPr>
          <w:tcW w:w="2160" w:type="dxa"/>
          <w:shd w:val="clear" w:color="auto" w:fill="auto"/>
        </w:tcPr>
        <w:p w14:paraId="5A84F9AC" w14:textId="77777777" w:rsidR="00BF1BE1" w:rsidRDefault="00A956E4" w:rsidP="008643CA">
          <w:pPr>
            <w:pStyle w:val="Huisstijl-Kopje"/>
          </w:pPr>
          <w:r>
            <w:t>Onze referentie</w:t>
          </w:r>
        </w:p>
        <w:p w14:paraId="3A6B213D" w14:textId="77777777" w:rsidR="002F71BB" w:rsidRPr="000407BB" w:rsidRDefault="00A956E4" w:rsidP="00636218">
          <w:pPr>
            <w:spacing w:after="90" w:line="180" w:lineRule="exact"/>
            <w:rPr>
              <w:sz w:val="13"/>
              <w:szCs w:val="13"/>
            </w:rPr>
          </w:pPr>
          <w:r>
            <w:rPr>
              <w:sz w:val="13"/>
              <w:szCs w:val="13"/>
            </w:rPr>
            <w:t>16821575</w:t>
          </w:r>
          <w:r w:rsidR="00D76C17">
            <w:rPr>
              <w:sz w:val="13"/>
              <w:szCs w:val="13"/>
            </w:rPr>
            <w:fldChar w:fldCharType="begin"/>
          </w:r>
          <w:r w:rsidR="00D76C17">
            <w:rPr>
              <w:sz w:val="13"/>
              <w:szCs w:val="13"/>
            </w:rPr>
            <w:instrText xml:space="preserve"> DOCPROPERTY  cs_objectid  \* MERGEFORMAT </w:instrText>
          </w:r>
          <w:r w:rsidR="00D76C17">
            <w:rPr>
              <w:sz w:val="13"/>
              <w:szCs w:val="13"/>
            </w:rPr>
            <w:fldChar w:fldCharType="end"/>
          </w:r>
        </w:p>
      </w:tc>
    </w:tr>
    <w:tr w:rsidR="00520C5B" w14:paraId="26BC4E77" w14:textId="77777777" w:rsidTr="002F71BB">
      <w:trPr>
        <w:trHeight w:val="259"/>
      </w:trPr>
      <w:tc>
        <w:tcPr>
          <w:tcW w:w="2160" w:type="dxa"/>
          <w:shd w:val="clear" w:color="auto" w:fill="auto"/>
        </w:tcPr>
        <w:p w14:paraId="484F56A8" w14:textId="77777777" w:rsidR="00E35CF4" w:rsidRPr="002F71BB" w:rsidRDefault="00E35CF4" w:rsidP="0049501A">
          <w:pPr>
            <w:spacing w:line="180" w:lineRule="exact"/>
            <w:rPr>
              <w:i/>
              <w:sz w:val="13"/>
              <w:szCs w:val="13"/>
            </w:rPr>
          </w:pPr>
        </w:p>
      </w:tc>
    </w:tr>
  </w:tbl>
  <w:p w14:paraId="211AE022"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0" w:type="dxa"/>
        <w:right w:w="0" w:type="dxa"/>
      </w:tblCellMar>
      <w:tblLook w:val="0000" w:firstRow="0" w:lastRow="0" w:firstColumn="0" w:lastColumn="0" w:noHBand="0" w:noVBand="0"/>
    </w:tblPr>
    <w:tblGrid>
      <w:gridCol w:w="737"/>
      <w:gridCol w:w="5156"/>
    </w:tblGrid>
    <w:tr w:rsidR="00520C5B" w14:paraId="700CE5C5" w14:textId="77777777" w:rsidTr="001377D4">
      <w:trPr>
        <w:trHeight w:val="2636"/>
      </w:trPr>
      <w:tc>
        <w:tcPr>
          <w:tcW w:w="737" w:type="dxa"/>
          <w:shd w:val="clear" w:color="auto" w:fill="auto"/>
        </w:tcPr>
        <w:p w14:paraId="12AB9A6B"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5C4FB816" w14:textId="77777777" w:rsidR="00483ECA" w:rsidRDefault="00A956E4" w:rsidP="00D037A9">
          <w:pPr>
            <w:framePr w:w="3873" w:h="2625" w:hRule="exact" w:wrap="around" w:vAnchor="page" w:hAnchor="page" w:x="6323" w:y="1"/>
          </w:pPr>
          <w:r>
            <w:rPr>
              <w:noProof/>
            </w:rPr>
            <w:drawing>
              <wp:inline distT="0" distB="0" distL="0" distR="0" wp14:anchorId="5E6A4CE5" wp14:editId="2F14E60D">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56914"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79560D30" w14:textId="77777777" w:rsidR="00483ECA" w:rsidRDefault="00483ECA" w:rsidP="00D037A9"/>
        <w:p w14:paraId="7544EB89" w14:textId="77777777" w:rsidR="005F2FA9" w:rsidRDefault="005F2FA9" w:rsidP="00082403"/>
      </w:tc>
    </w:tr>
  </w:tbl>
  <w:p w14:paraId="39D7B246"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520C5B" w14:paraId="5F9F8CFB" w14:textId="77777777" w:rsidTr="0008539E">
      <w:trPr>
        <w:trHeight w:hRule="exact" w:val="572"/>
      </w:trPr>
      <w:tc>
        <w:tcPr>
          <w:tcW w:w="7520" w:type="dxa"/>
          <w:shd w:val="clear" w:color="auto" w:fill="auto"/>
        </w:tcPr>
        <w:p w14:paraId="22DEFD13" w14:textId="77777777" w:rsidR="00247061" w:rsidRPr="009E3B07" w:rsidRDefault="00A956E4" w:rsidP="00D4707D">
          <w:pPr>
            <w:pStyle w:val="Huisstijl-Adres"/>
            <w:spacing w:after="0"/>
          </w:pPr>
          <w:r w:rsidRPr="009E3B07">
            <w:t>&gt;Retouradres </w:t>
          </w:r>
          <w:r>
            <w:t>Postbus 16375 2500 BJ Den Haag</w:t>
          </w:r>
          <w:r w:rsidRPr="009E3B07">
            <w:t xml:space="preserve"> </w:t>
          </w:r>
        </w:p>
      </w:tc>
    </w:tr>
    <w:tr w:rsidR="00520C5B" w14:paraId="4CB39E98" w14:textId="77777777" w:rsidTr="00E776C6">
      <w:trPr>
        <w:cantSplit/>
        <w:trHeight w:hRule="exact" w:val="238"/>
      </w:trPr>
      <w:tc>
        <w:tcPr>
          <w:tcW w:w="7520" w:type="dxa"/>
          <w:shd w:val="clear" w:color="auto" w:fill="auto"/>
        </w:tcPr>
        <w:p w14:paraId="06F0532D" w14:textId="77777777" w:rsidR="00093ABC" w:rsidRPr="00963440" w:rsidRDefault="00093ABC" w:rsidP="00963440"/>
      </w:tc>
    </w:tr>
    <w:tr w:rsidR="00520C5B" w14:paraId="76462B1F" w14:textId="77777777" w:rsidTr="00E776C6">
      <w:trPr>
        <w:cantSplit/>
        <w:trHeight w:hRule="exact" w:val="1520"/>
      </w:trPr>
      <w:tc>
        <w:tcPr>
          <w:tcW w:w="7520" w:type="dxa"/>
          <w:shd w:val="clear" w:color="auto" w:fill="auto"/>
        </w:tcPr>
        <w:p w14:paraId="21D7FE5E" w14:textId="77777777" w:rsidR="00A604D3" w:rsidRPr="00963440" w:rsidRDefault="00A604D3" w:rsidP="003B6D32"/>
      </w:tc>
    </w:tr>
    <w:tr w:rsidR="00520C5B" w14:paraId="4BB1BF72" w14:textId="77777777" w:rsidTr="00E776C6">
      <w:trPr>
        <w:trHeight w:hRule="exact" w:val="1077"/>
      </w:trPr>
      <w:tc>
        <w:tcPr>
          <w:tcW w:w="7520" w:type="dxa"/>
          <w:shd w:val="clear" w:color="auto" w:fill="auto"/>
        </w:tcPr>
        <w:p w14:paraId="7CF12F55" w14:textId="77777777" w:rsidR="00892BA5" w:rsidRPr="00035E67" w:rsidRDefault="00892BA5" w:rsidP="00892BA5">
          <w:pPr>
            <w:tabs>
              <w:tab w:val="left" w:pos="740"/>
            </w:tabs>
            <w:autoSpaceDE w:val="0"/>
            <w:autoSpaceDN w:val="0"/>
            <w:adjustRightInd w:val="0"/>
            <w:rPr>
              <w:rFonts w:cs="Verdana"/>
              <w:szCs w:val="18"/>
            </w:rPr>
          </w:pPr>
        </w:p>
      </w:tc>
    </w:tr>
  </w:tbl>
  <w:p w14:paraId="7D0A6415" w14:textId="77777777" w:rsidR="006F273B" w:rsidRDefault="006F273B" w:rsidP="00BC4AE3">
    <w:pPr>
      <w:pStyle w:val="Koptekst"/>
    </w:pPr>
  </w:p>
  <w:p w14:paraId="12AE7A82" w14:textId="77777777" w:rsidR="00153BD0" w:rsidRDefault="00153BD0" w:rsidP="00BC4AE3">
    <w:pPr>
      <w:pStyle w:val="Koptekst"/>
    </w:pPr>
  </w:p>
  <w:p w14:paraId="4A9E90E3" w14:textId="77777777" w:rsidR="0044605E" w:rsidRDefault="0044605E" w:rsidP="00BC4AE3">
    <w:pPr>
      <w:pStyle w:val="Koptekst"/>
    </w:pPr>
  </w:p>
  <w:p w14:paraId="40292F21" w14:textId="77777777" w:rsidR="0044605E" w:rsidRDefault="0044605E" w:rsidP="00BC4AE3">
    <w:pPr>
      <w:pStyle w:val="Koptekst"/>
    </w:pPr>
  </w:p>
  <w:p w14:paraId="0701D697"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238E9B4"/>
    <w:multiLevelType w:val="hybridMultilevel"/>
    <w:tmpl w:val="1D8E1FCE"/>
    <w:lvl w:ilvl="0" w:tplc="A5065508">
      <w:start w:val="1"/>
      <w:numFmt w:val="bullet"/>
      <w:pStyle w:val="ListBullet0"/>
      <w:lvlText w:val="•"/>
      <w:lvlJc w:val="left"/>
      <w:pPr>
        <w:tabs>
          <w:tab w:val="num" w:pos="227"/>
        </w:tabs>
        <w:ind w:left="227" w:hanging="227"/>
      </w:pPr>
      <w:rPr>
        <w:rFonts w:ascii="Verdana" w:hAnsi="Verdana" w:hint="default"/>
        <w:sz w:val="18"/>
        <w:szCs w:val="18"/>
      </w:rPr>
    </w:lvl>
    <w:lvl w:ilvl="1" w:tplc="9586C1EE" w:tentative="1">
      <w:start w:val="1"/>
      <w:numFmt w:val="bullet"/>
      <w:lvlText w:val="o"/>
      <w:lvlJc w:val="left"/>
      <w:pPr>
        <w:tabs>
          <w:tab w:val="num" w:pos="1440"/>
        </w:tabs>
        <w:ind w:left="1440" w:hanging="360"/>
      </w:pPr>
      <w:rPr>
        <w:rFonts w:ascii="Courier New" w:hAnsi="Courier New" w:cs="Courier New" w:hint="default"/>
      </w:rPr>
    </w:lvl>
    <w:lvl w:ilvl="2" w:tplc="76B44DBA" w:tentative="1">
      <w:start w:val="1"/>
      <w:numFmt w:val="bullet"/>
      <w:lvlText w:val=""/>
      <w:lvlJc w:val="left"/>
      <w:pPr>
        <w:tabs>
          <w:tab w:val="num" w:pos="2160"/>
        </w:tabs>
        <w:ind w:left="2160" w:hanging="360"/>
      </w:pPr>
      <w:rPr>
        <w:rFonts w:ascii="Wingdings" w:hAnsi="Wingdings" w:hint="default"/>
      </w:rPr>
    </w:lvl>
    <w:lvl w:ilvl="3" w:tplc="5C1C2004" w:tentative="1">
      <w:start w:val="1"/>
      <w:numFmt w:val="bullet"/>
      <w:lvlText w:val=""/>
      <w:lvlJc w:val="left"/>
      <w:pPr>
        <w:tabs>
          <w:tab w:val="num" w:pos="2880"/>
        </w:tabs>
        <w:ind w:left="2880" w:hanging="360"/>
      </w:pPr>
      <w:rPr>
        <w:rFonts w:ascii="Symbol" w:hAnsi="Symbol" w:hint="default"/>
      </w:rPr>
    </w:lvl>
    <w:lvl w:ilvl="4" w:tplc="A6AA3EF4" w:tentative="1">
      <w:start w:val="1"/>
      <w:numFmt w:val="bullet"/>
      <w:lvlText w:val="o"/>
      <w:lvlJc w:val="left"/>
      <w:pPr>
        <w:tabs>
          <w:tab w:val="num" w:pos="3600"/>
        </w:tabs>
        <w:ind w:left="3600" w:hanging="360"/>
      </w:pPr>
      <w:rPr>
        <w:rFonts w:ascii="Courier New" w:hAnsi="Courier New" w:cs="Courier New" w:hint="default"/>
      </w:rPr>
    </w:lvl>
    <w:lvl w:ilvl="5" w:tplc="7AF6CB80" w:tentative="1">
      <w:start w:val="1"/>
      <w:numFmt w:val="bullet"/>
      <w:lvlText w:val=""/>
      <w:lvlJc w:val="left"/>
      <w:pPr>
        <w:tabs>
          <w:tab w:val="num" w:pos="4320"/>
        </w:tabs>
        <w:ind w:left="4320" w:hanging="360"/>
      </w:pPr>
      <w:rPr>
        <w:rFonts w:ascii="Wingdings" w:hAnsi="Wingdings" w:hint="default"/>
      </w:rPr>
    </w:lvl>
    <w:lvl w:ilvl="6" w:tplc="A658E7B0" w:tentative="1">
      <w:start w:val="1"/>
      <w:numFmt w:val="bullet"/>
      <w:lvlText w:val=""/>
      <w:lvlJc w:val="left"/>
      <w:pPr>
        <w:tabs>
          <w:tab w:val="num" w:pos="5040"/>
        </w:tabs>
        <w:ind w:left="5040" w:hanging="360"/>
      </w:pPr>
      <w:rPr>
        <w:rFonts w:ascii="Symbol" w:hAnsi="Symbol" w:hint="default"/>
      </w:rPr>
    </w:lvl>
    <w:lvl w:ilvl="7" w:tplc="D1345A0A" w:tentative="1">
      <w:start w:val="1"/>
      <w:numFmt w:val="bullet"/>
      <w:lvlText w:val="o"/>
      <w:lvlJc w:val="left"/>
      <w:pPr>
        <w:tabs>
          <w:tab w:val="num" w:pos="5760"/>
        </w:tabs>
        <w:ind w:left="5760" w:hanging="360"/>
      </w:pPr>
      <w:rPr>
        <w:rFonts w:ascii="Courier New" w:hAnsi="Courier New" w:cs="Courier New" w:hint="default"/>
      </w:rPr>
    </w:lvl>
    <w:lvl w:ilvl="8" w:tplc="973EAA8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825DF4DA"/>
    <w:multiLevelType w:val="hybridMultilevel"/>
    <w:tmpl w:val="50F0923E"/>
    <w:lvl w:ilvl="0" w:tplc="228255AC">
      <w:start w:val="1"/>
      <w:numFmt w:val="bullet"/>
      <w:pStyle w:val="ListBullet20"/>
      <w:lvlText w:val="–"/>
      <w:lvlJc w:val="left"/>
      <w:pPr>
        <w:tabs>
          <w:tab w:val="num" w:pos="227"/>
        </w:tabs>
        <w:ind w:left="227" w:firstLine="0"/>
      </w:pPr>
      <w:rPr>
        <w:rFonts w:ascii="Verdana" w:hAnsi="Verdana" w:hint="default"/>
      </w:rPr>
    </w:lvl>
    <w:lvl w:ilvl="1" w:tplc="15445780" w:tentative="1">
      <w:start w:val="1"/>
      <w:numFmt w:val="bullet"/>
      <w:lvlText w:val="o"/>
      <w:lvlJc w:val="left"/>
      <w:pPr>
        <w:tabs>
          <w:tab w:val="num" w:pos="1440"/>
        </w:tabs>
        <w:ind w:left="1440" w:hanging="360"/>
      </w:pPr>
      <w:rPr>
        <w:rFonts w:ascii="Courier New" w:hAnsi="Courier New" w:cs="Courier New" w:hint="default"/>
      </w:rPr>
    </w:lvl>
    <w:lvl w:ilvl="2" w:tplc="27FC6406" w:tentative="1">
      <w:start w:val="1"/>
      <w:numFmt w:val="bullet"/>
      <w:lvlText w:val=""/>
      <w:lvlJc w:val="left"/>
      <w:pPr>
        <w:tabs>
          <w:tab w:val="num" w:pos="2160"/>
        </w:tabs>
        <w:ind w:left="2160" w:hanging="360"/>
      </w:pPr>
      <w:rPr>
        <w:rFonts w:ascii="Wingdings" w:hAnsi="Wingdings" w:hint="default"/>
      </w:rPr>
    </w:lvl>
    <w:lvl w:ilvl="3" w:tplc="C7EAE7D4" w:tentative="1">
      <w:start w:val="1"/>
      <w:numFmt w:val="bullet"/>
      <w:lvlText w:val=""/>
      <w:lvlJc w:val="left"/>
      <w:pPr>
        <w:tabs>
          <w:tab w:val="num" w:pos="2880"/>
        </w:tabs>
        <w:ind w:left="2880" w:hanging="360"/>
      </w:pPr>
      <w:rPr>
        <w:rFonts w:ascii="Symbol" w:hAnsi="Symbol" w:hint="default"/>
      </w:rPr>
    </w:lvl>
    <w:lvl w:ilvl="4" w:tplc="5E902C76" w:tentative="1">
      <w:start w:val="1"/>
      <w:numFmt w:val="bullet"/>
      <w:lvlText w:val="o"/>
      <w:lvlJc w:val="left"/>
      <w:pPr>
        <w:tabs>
          <w:tab w:val="num" w:pos="3600"/>
        </w:tabs>
        <w:ind w:left="3600" w:hanging="360"/>
      </w:pPr>
      <w:rPr>
        <w:rFonts w:ascii="Courier New" w:hAnsi="Courier New" w:cs="Courier New" w:hint="default"/>
      </w:rPr>
    </w:lvl>
    <w:lvl w:ilvl="5" w:tplc="17FED152" w:tentative="1">
      <w:start w:val="1"/>
      <w:numFmt w:val="bullet"/>
      <w:lvlText w:val=""/>
      <w:lvlJc w:val="left"/>
      <w:pPr>
        <w:tabs>
          <w:tab w:val="num" w:pos="4320"/>
        </w:tabs>
        <w:ind w:left="4320" w:hanging="360"/>
      </w:pPr>
      <w:rPr>
        <w:rFonts w:ascii="Wingdings" w:hAnsi="Wingdings" w:hint="default"/>
      </w:rPr>
    </w:lvl>
    <w:lvl w:ilvl="6" w:tplc="CACEC8C8" w:tentative="1">
      <w:start w:val="1"/>
      <w:numFmt w:val="bullet"/>
      <w:lvlText w:val=""/>
      <w:lvlJc w:val="left"/>
      <w:pPr>
        <w:tabs>
          <w:tab w:val="num" w:pos="5040"/>
        </w:tabs>
        <w:ind w:left="5040" w:hanging="360"/>
      </w:pPr>
      <w:rPr>
        <w:rFonts w:ascii="Symbol" w:hAnsi="Symbol" w:hint="default"/>
      </w:rPr>
    </w:lvl>
    <w:lvl w:ilvl="7" w:tplc="335A738E" w:tentative="1">
      <w:start w:val="1"/>
      <w:numFmt w:val="bullet"/>
      <w:lvlText w:val="o"/>
      <w:lvlJc w:val="left"/>
      <w:pPr>
        <w:tabs>
          <w:tab w:val="num" w:pos="5760"/>
        </w:tabs>
        <w:ind w:left="5760" w:hanging="360"/>
      </w:pPr>
      <w:rPr>
        <w:rFonts w:ascii="Courier New" w:hAnsi="Courier New" w:cs="Courier New" w:hint="default"/>
      </w:rPr>
    </w:lvl>
    <w:lvl w:ilvl="8" w:tplc="A022A9B2"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ECDFCCE9"/>
    <w:multiLevelType w:val="hybridMultilevel"/>
    <w:tmpl w:val="1D8E1FCE"/>
    <w:lvl w:ilvl="0" w:tplc="B78277B8">
      <w:start w:val="1"/>
      <w:numFmt w:val="bullet"/>
      <w:pStyle w:val="Lijstopsomteken"/>
      <w:lvlText w:val="•"/>
      <w:lvlJc w:val="left"/>
      <w:pPr>
        <w:tabs>
          <w:tab w:val="num" w:pos="227"/>
        </w:tabs>
        <w:ind w:left="227" w:hanging="227"/>
      </w:pPr>
      <w:rPr>
        <w:rFonts w:ascii="Verdana" w:hAnsi="Verdana" w:hint="default"/>
        <w:sz w:val="18"/>
        <w:szCs w:val="18"/>
      </w:rPr>
    </w:lvl>
    <w:lvl w:ilvl="1" w:tplc="69CAD77C" w:tentative="1">
      <w:start w:val="1"/>
      <w:numFmt w:val="bullet"/>
      <w:lvlText w:val="o"/>
      <w:lvlJc w:val="left"/>
      <w:pPr>
        <w:tabs>
          <w:tab w:val="num" w:pos="1440"/>
        </w:tabs>
        <w:ind w:left="1440" w:hanging="360"/>
      </w:pPr>
      <w:rPr>
        <w:rFonts w:ascii="Courier New" w:hAnsi="Courier New" w:cs="Courier New" w:hint="default"/>
      </w:rPr>
    </w:lvl>
    <w:lvl w:ilvl="2" w:tplc="4056859A" w:tentative="1">
      <w:start w:val="1"/>
      <w:numFmt w:val="bullet"/>
      <w:lvlText w:val=""/>
      <w:lvlJc w:val="left"/>
      <w:pPr>
        <w:tabs>
          <w:tab w:val="num" w:pos="2160"/>
        </w:tabs>
        <w:ind w:left="2160" w:hanging="360"/>
      </w:pPr>
      <w:rPr>
        <w:rFonts w:ascii="Wingdings" w:hAnsi="Wingdings" w:hint="default"/>
      </w:rPr>
    </w:lvl>
    <w:lvl w:ilvl="3" w:tplc="02CA49DC" w:tentative="1">
      <w:start w:val="1"/>
      <w:numFmt w:val="bullet"/>
      <w:lvlText w:val=""/>
      <w:lvlJc w:val="left"/>
      <w:pPr>
        <w:tabs>
          <w:tab w:val="num" w:pos="2880"/>
        </w:tabs>
        <w:ind w:left="2880" w:hanging="360"/>
      </w:pPr>
      <w:rPr>
        <w:rFonts w:ascii="Symbol" w:hAnsi="Symbol" w:hint="default"/>
      </w:rPr>
    </w:lvl>
    <w:lvl w:ilvl="4" w:tplc="02A0314A" w:tentative="1">
      <w:start w:val="1"/>
      <w:numFmt w:val="bullet"/>
      <w:lvlText w:val="o"/>
      <w:lvlJc w:val="left"/>
      <w:pPr>
        <w:tabs>
          <w:tab w:val="num" w:pos="3600"/>
        </w:tabs>
        <w:ind w:left="3600" w:hanging="360"/>
      </w:pPr>
      <w:rPr>
        <w:rFonts w:ascii="Courier New" w:hAnsi="Courier New" w:cs="Courier New" w:hint="default"/>
      </w:rPr>
    </w:lvl>
    <w:lvl w:ilvl="5" w:tplc="6812EB5A" w:tentative="1">
      <w:start w:val="1"/>
      <w:numFmt w:val="bullet"/>
      <w:lvlText w:val=""/>
      <w:lvlJc w:val="left"/>
      <w:pPr>
        <w:tabs>
          <w:tab w:val="num" w:pos="4320"/>
        </w:tabs>
        <w:ind w:left="4320" w:hanging="360"/>
      </w:pPr>
      <w:rPr>
        <w:rFonts w:ascii="Wingdings" w:hAnsi="Wingdings" w:hint="default"/>
      </w:rPr>
    </w:lvl>
    <w:lvl w:ilvl="6" w:tplc="5AC6F342" w:tentative="1">
      <w:start w:val="1"/>
      <w:numFmt w:val="bullet"/>
      <w:lvlText w:val=""/>
      <w:lvlJc w:val="left"/>
      <w:pPr>
        <w:tabs>
          <w:tab w:val="num" w:pos="5040"/>
        </w:tabs>
        <w:ind w:left="5040" w:hanging="360"/>
      </w:pPr>
      <w:rPr>
        <w:rFonts w:ascii="Symbol" w:hAnsi="Symbol" w:hint="default"/>
      </w:rPr>
    </w:lvl>
    <w:lvl w:ilvl="7" w:tplc="BD086942" w:tentative="1">
      <w:start w:val="1"/>
      <w:numFmt w:val="bullet"/>
      <w:lvlText w:val="o"/>
      <w:lvlJc w:val="left"/>
      <w:pPr>
        <w:tabs>
          <w:tab w:val="num" w:pos="5760"/>
        </w:tabs>
        <w:ind w:left="5760" w:hanging="360"/>
      </w:pPr>
      <w:rPr>
        <w:rFonts w:ascii="Courier New" w:hAnsi="Courier New" w:cs="Courier New" w:hint="default"/>
      </w:rPr>
    </w:lvl>
    <w:lvl w:ilvl="8" w:tplc="906884C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EECA59BC"/>
    <w:multiLevelType w:val="hybridMultilevel"/>
    <w:tmpl w:val="50F0923E"/>
    <w:lvl w:ilvl="0" w:tplc="B7803692">
      <w:start w:val="1"/>
      <w:numFmt w:val="bullet"/>
      <w:pStyle w:val="Lijstopsomteken2"/>
      <w:lvlText w:val="–"/>
      <w:lvlJc w:val="left"/>
      <w:pPr>
        <w:tabs>
          <w:tab w:val="num" w:pos="227"/>
        </w:tabs>
        <w:ind w:left="227" w:firstLine="0"/>
      </w:pPr>
      <w:rPr>
        <w:rFonts w:ascii="Verdana" w:hAnsi="Verdana" w:hint="default"/>
      </w:rPr>
    </w:lvl>
    <w:lvl w:ilvl="1" w:tplc="029467F8" w:tentative="1">
      <w:start w:val="1"/>
      <w:numFmt w:val="bullet"/>
      <w:lvlText w:val="o"/>
      <w:lvlJc w:val="left"/>
      <w:pPr>
        <w:tabs>
          <w:tab w:val="num" w:pos="1440"/>
        </w:tabs>
        <w:ind w:left="1440" w:hanging="360"/>
      </w:pPr>
      <w:rPr>
        <w:rFonts w:ascii="Courier New" w:hAnsi="Courier New" w:cs="Courier New" w:hint="default"/>
      </w:rPr>
    </w:lvl>
    <w:lvl w:ilvl="2" w:tplc="0EBA5DC6" w:tentative="1">
      <w:start w:val="1"/>
      <w:numFmt w:val="bullet"/>
      <w:lvlText w:val=""/>
      <w:lvlJc w:val="left"/>
      <w:pPr>
        <w:tabs>
          <w:tab w:val="num" w:pos="2160"/>
        </w:tabs>
        <w:ind w:left="2160" w:hanging="360"/>
      </w:pPr>
      <w:rPr>
        <w:rFonts w:ascii="Wingdings" w:hAnsi="Wingdings" w:hint="default"/>
      </w:rPr>
    </w:lvl>
    <w:lvl w:ilvl="3" w:tplc="E6A6FCB8" w:tentative="1">
      <w:start w:val="1"/>
      <w:numFmt w:val="bullet"/>
      <w:lvlText w:val=""/>
      <w:lvlJc w:val="left"/>
      <w:pPr>
        <w:tabs>
          <w:tab w:val="num" w:pos="2880"/>
        </w:tabs>
        <w:ind w:left="2880" w:hanging="360"/>
      </w:pPr>
      <w:rPr>
        <w:rFonts w:ascii="Symbol" w:hAnsi="Symbol" w:hint="default"/>
      </w:rPr>
    </w:lvl>
    <w:lvl w:ilvl="4" w:tplc="AABEBB7C" w:tentative="1">
      <w:start w:val="1"/>
      <w:numFmt w:val="bullet"/>
      <w:lvlText w:val="o"/>
      <w:lvlJc w:val="left"/>
      <w:pPr>
        <w:tabs>
          <w:tab w:val="num" w:pos="3600"/>
        </w:tabs>
        <w:ind w:left="3600" w:hanging="360"/>
      </w:pPr>
      <w:rPr>
        <w:rFonts w:ascii="Courier New" w:hAnsi="Courier New" w:cs="Courier New" w:hint="default"/>
      </w:rPr>
    </w:lvl>
    <w:lvl w:ilvl="5" w:tplc="1EA06902" w:tentative="1">
      <w:start w:val="1"/>
      <w:numFmt w:val="bullet"/>
      <w:lvlText w:val=""/>
      <w:lvlJc w:val="left"/>
      <w:pPr>
        <w:tabs>
          <w:tab w:val="num" w:pos="4320"/>
        </w:tabs>
        <w:ind w:left="4320" w:hanging="360"/>
      </w:pPr>
      <w:rPr>
        <w:rFonts w:ascii="Wingdings" w:hAnsi="Wingdings" w:hint="default"/>
      </w:rPr>
    </w:lvl>
    <w:lvl w:ilvl="6" w:tplc="FC32B898" w:tentative="1">
      <w:start w:val="1"/>
      <w:numFmt w:val="bullet"/>
      <w:lvlText w:val=""/>
      <w:lvlJc w:val="left"/>
      <w:pPr>
        <w:tabs>
          <w:tab w:val="num" w:pos="5040"/>
        </w:tabs>
        <w:ind w:left="5040" w:hanging="360"/>
      </w:pPr>
      <w:rPr>
        <w:rFonts w:ascii="Symbol" w:hAnsi="Symbol" w:hint="default"/>
      </w:rPr>
    </w:lvl>
    <w:lvl w:ilvl="7" w:tplc="229E57EC" w:tentative="1">
      <w:start w:val="1"/>
      <w:numFmt w:val="bullet"/>
      <w:lvlText w:val="o"/>
      <w:lvlJc w:val="left"/>
      <w:pPr>
        <w:tabs>
          <w:tab w:val="num" w:pos="5760"/>
        </w:tabs>
        <w:ind w:left="5760" w:hanging="360"/>
      </w:pPr>
      <w:rPr>
        <w:rFonts w:ascii="Courier New" w:hAnsi="Courier New" w:cs="Courier New" w:hint="default"/>
      </w:rPr>
    </w:lvl>
    <w:lvl w:ilvl="8" w:tplc="69F69F6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DB1E7B"/>
    <w:multiLevelType w:val="hybridMultilevel"/>
    <w:tmpl w:val="0FB4AF6C"/>
    <w:lvl w:ilvl="0" w:tplc="0413000F">
      <w:start w:val="1"/>
      <w:numFmt w:val="decimal"/>
      <w:lvlText w:val="%1."/>
      <w:lvlJc w:val="left"/>
      <w:pPr>
        <w:ind w:left="360" w:hanging="360"/>
      </w:pPr>
      <w:rPr>
        <w:rFonts w:hint="default"/>
        <w:sz w:val="18"/>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25101B61"/>
    <w:multiLevelType w:val="hybridMultilevel"/>
    <w:tmpl w:val="80802F16"/>
    <w:lvl w:ilvl="0" w:tplc="04130001">
      <w:start w:val="1"/>
      <w:numFmt w:val="bullet"/>
      <w:lvlText w:val=""/>
      <w:lvlJc w:val="left"/>
      <w:pPr>
        <w:ind w:left="360" w:hanging="360"/>
      </w:pPr>
      <w:rPr>
        <w:rFonts w:ascii="Symbol" w:hAnsi="Symbol" w:hint="default"/>
        <w:sz w:val="18"/>
        <w:szCs w:val="18"/>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6" w15:restartNumberingAfterBreak="0">
    <w:nsid w:val="600B59EA"/>
    <w:multiLevelType w:val="hybridMultilevel"/>
    <w:tmpl w:val="1630A7EC"/>
    <w:lvl w:ilvl="0" w:tplc="A8D8EE2E">
      <w:numFmt w:val="bullet"/>
      <w:lvlText w:val="-"/>
      <w:lvlJc w:val="left"/>
      <w:pPr>
        <w:ind w:left="360" w:hanging="360"/>
      </w:pPr>
      <w:rPr>
        <w:rFonts w:ascii="Verdana" w:eastAsiaTheme="minorHAnsi" w:hAnsi="Verdana" w:cs="Times New Roman" w:hint="default"/>
        <w:sz w:val="18"/>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73484EE7"/>
    <w:multiLevelType w:val="hybridMultilevel"/>
    <w:tmpl w:val="6C58EE28"/>
    <w:lvl w:ilvl="0" w:tplc="32B84222">
      <w:start w:val="2012"/>
      <w:numFmt w:val="bullet"/>
      <w:lvlText w:val="-"/>
      <w:lvlJc w:val="left"/>
      <w:pPr>
        <w:ind w:left="720" w:hanging="360"/>
      </w:pPr>
      <w:rPr>
        <w:rFonts w:ascii="Calibri" w:eastAsiaTheme="minorHAns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737C2B19"/>
    <w:multiLevelType w:val="hybridMultilevel"/>
    <w:tmpl w:val="2330701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 w:numId="5">
    <w:abstractNumId w:val="5"/>
  </w:num>
  <w:num w:numId="6">
    <w:abstractNumId w:val="7"/>
  </w:num>
  <w:num w:numId="7">
    <w:abstractNumId w:val="6"/>
  </w:num>
  <w:num w:numId="8">
    <w:abstractNumId w:val="4"/>
  </w:num>
  <w:num w:numId="9">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7160"/>
    <w:rsid w:val="0003427C"/>
    <w:rsid w:val="00034939"/>
    <w:rsid w:val="00035E67"/>
    <w:rsid w:val="000407BB"/>
    <w:rsid w:val="00043C31"/>
    <w:rsid w:val="000628DC"/>
    <w:rsid w:val="00082403"/>
    <w:rsid w:val="00083916"/>
    <w:rsid w:val="00093ABC"/>
    <w:rsid w:val="00097B1F"/>
    <w:rsid w:val="000A34DF"/>
    <w:rsid w:val="000C305D"/>
    <w:rsid w:val="001331DA"/>
    <w:rsid w:val="00133DAB"/>
    <w:rsid w:val="00153BD0"/>
    <w:rsid w:val="00174059"/>
    <w:rsid w:val="001876C1"/>
    <w:rsid w:val="00192696"/>
    <w:rsid w:val="001958A2"/>
    <w:rsid w:val="001A6966"/>
    <w:rsid w:val="001B2905"/>
    <w:rsid w:val="00213816"/>
    <w:rsid w:val="00213C5E"/>
    <w:rsid w:val="00217880"/>
    <w:rsid w:val="00242134"/>
    <w:rsid w:val="002439E1"/>
    <w:rsid w:val="00245A4B"/>
    <w:rsid w:val="00246737"/>
    <w:rsid w:val="00247061"/>
    <w:rsid w:val="00247EC4"/>
    <w:rsid w:val="002606A9"/>
    <w:rsid w:val="002663A5"/>
    <w:rsid w:val="0026686B"/>
    <w:rsid w:val="00275984"/>
    <w:rsid w:val="00286968"/>
    <w:rsid w:val="002952D9"/>
    <w:rsid w:val="002C0B66"/>
    <w:rsid w:val="002E4B19"/>
    <w:rsid w:val="002F258D"/>
    <w:rsid w:val="002F71BB"/>
    <w:rsid w:val="00356D2B"/>
    <w:rsid w:val="00372CD5"/>
    <w:rsid w:val="00372D19"/>
    <w:rsid w:val="003748EE"/>
    <w:rsid w:val="003929D8"/>
    <w:rsid w:val="003A320F"/>
    <w:rsid w:val="003A7160"/>
    <w:rsid w:val="003B1ADF"/>
    <w:rsid w:val="003B6D32"/>
    <w:rsid w:val="003C3089"/>
    <w:rsid w:val="003C7D99"/>
    <w:rsid w:val="003D1540"/>
    <w:rsid w:val="003D35A6"/>
    <w:rsid w:val="003D5902"/>
    <w:rsid w:val="003F573F"/>
    <w:rsid w:val="003F69AA"/>
    <w:rsid w:val="00420ED9"/>
    <w:rsid w:val="00424290"/>
    <w:rsid w:val="0043123A"/>
    <w:rsid w:val="00436B9E"/>
    <w:rsid w:val="004425A7"/>
    <w:rsid w:val="00444986"/>
    <w:rsid w:val="0044605E"/>
    <w:rsid w:val="004517DD"/>
    <w:rsid w:val="00461257"/>
    <w:rsid w:val="00470DFF"/>
    <w:rsid w:val="0047126E"/>
    <w:rsid w:val="00483ECA"/>
    <w:rsid w:val="00485120"/>
    <w:rsid w:val="0049162C"/>
    <w:rsid w:val="0049501A"/>
    <w:rsid w:val="00495084"/>
    <w:rsid w:val="00497FFC"/>
    <w:rsid w:val="004B2D35"/>
    <w:rsid w:val="004B376A"/>
    <w:rsid w:val="004C7E1D"/>
    <w:rsid w:val="004F44C2"/>
    <w:rsid w:val="005108E7"/>
    <w:rsid w:val="00516B0C"/>
    <w:rsid w:val="00520C5B"/>
    <w:rsid w:val="00527BD4"/>
    <w:rsid w:val="005334E0"/>
    <w:rsid w:val="005676D7"/>
    <w:rsid w:val="00570EC1"/>
    <w:rsid w:val="005800A7"/>
    <w:rsid w:val="00582975"/>
    <w:rsid w:val="00594630"/>
    <w:rsid w:val="005B034C"/>
    <w:rsid w:val="005D430D"/>
    <w:rsid w:val="005F2FA9"/>
    <w:rsid w:val="00610631"/>
    <w:rsid w:val="00611451"/>
    <w:rsid w:val="006136D7"/>
    <w:rsid w:val="00633748"/>
    <w:rsid w:val="00636218"/>
    <w:rsid w:val="00641463"/>
    <w:rsid w:val="0064467B"/>
    <w:rsid w:val="006468C0"/>
    <w:rsid w:val="00665D33"/>
    <w:rsid w:val="00681EAF"/>
    <w:rsid w:val="00691AAB"/>
    <w:rsid w:val="006961F7"/>
    <w:rsid w:val="006B608C"/>
    <w:rsid w:val="006C717D"/>
    <w:rsid w:val="006E68DB"/>
    <w:rsid w:val="006F273B"/>
    <w:rsid w:val="006F7610"/>
    <w:rsid w:val="007027AD"/>
    <w:rsid w:val="00704845"/>
    <w:rsid w:val="00705993"/>
    <w:rsid w:val="00723C4D"/>
    <w:rsid w:val="00723D44"/>
    <w:rsid w:val="007318E2"/>
    <w:rsid w:val="0073436A"/>
    <w:rsid w:val="007401F7"/>
    <w:rsid w:val="00747672"/>
    <w:rsid w:val="0076181F"/>
    <w:rsid w:val="007A5FB4"/>
    <w:rsid w:val="007A70DC"/>
    <w:rsid w:val="007B37A5"/>
    <w:rsid w:val="007D6F77"/>
    <w:rsid w:val="007F7207"/>
    <w:rsid w:val="008053B5"/>
    <w:rsid w:val="00807D6C"/>
    <w:rsid w:val="008112D1"/>
    <w:rsid w:val="008135DB"/>
    <w:rsid w:val="008179E0"/>
    <w:rsid w:val="008211EF"/>
    <w:rsid w:val="00827DEB"/>
    <w:rsid w:val="0083095E"/>
    <w:rsid w:val="008424DA"/>
    <w:rsid w:val="00852A78"/>
    <w:rsid w:val="00863B45"/>
    <w:rsid w:val="008643CA"/>
    <w:rsid w:val="00890783"/>
    <w:rsid w:val="00892BA5"/>
    <w:rsid w:val="008A5EA8"/>
    <w:rsid w:val="008A5FC4"/>
    <w:rsid w:val="008C356D"/>
    <w:rsid w:val="008C4AC1"/>
    <w:rsid w:val="008C4C17"/>
    <w:rsid w:val="008E74E0"/>
    <w:rsid w:val="009102BB"/>
    <w:rsid w:val="00921BE9"/>
    <w:rsid w:val="00927958"/>
    <w:rsid w:val="009322FB"/>
    <w:rsid w:val="00940C5B"/>
    <w:rsid w:val="00945E3B"/>
    <w:rsid w:val="009619A7"/>
    <w:rsid w:val="00962807"/>
    <w:rsid w:val="00963440"/>
    <w:rsid w:val="00974470"/>
    <w:rsid w:val="009973C6"/>
    <w:rsid w:val="009B1696"/>
    <w:rsid w:val="009B4476"/>
    <w:rsid w:val="009C5394"/>
    <w:rsid w:val="009C5FC5"/>
    <w:rsid w:val="009E27F0"/>
    <w:rsid w:val="009E2C28"/>
    <w:rsid w:val="009E3B07"/>
    <w:rsid w:val="009E538C"/>
    <w:rsid w:val="009F5557"/>
    <w:rsid w:val="009F55AC"/>
    <w:rsid w:val="00A12485"/>
    <w:rsid w:val="00A15404"/>
    <w:rsid w:val="00A32073"/>
    <w:rsid w:val="00A41151"/>
    <w:rsid w:val="00A604D3"/>
    <w:rsid w:val="00A655BC"/>
    <w:rsid w:val="00A67375"/>
    <w:rsid w:val="00A80A06"/>
    <w:rsid w:val="00A84DC7"/>
    <w:rsid w:val="00A86F68"/>
    <w:rsid w:val="00A87C20"/>
    <w:rsid w:val="00A956E4"/>
    <w:rsid w:val="00A957D9"/>
    <w:rsid w:val="00AA4791"/>
    <w:rsid w:val="00AA6BDC"/>
    <w:rsid w:val="00AE5E73"/>
    <w:rsid w:val="00AE6AAC"/>
    <w:rsid w:val="00AF187A"/>
    <w:rsid w:val="00AF456D"/>
    <w:rsid w:val="00AF464C"/>
    <w:rsid w:val="00B026F3"/>
    <w:rsid w:val="00B07D96"/>
    <w:rsid w:val="00B139F3"/>
    <w:rsid w:val="00B143B0"/>
    <w:rsid w:val="00B22B08"/>
    <w:rsid w:val="00B45024"/>
    <w:rsid w:val="00B45447"/>
    <w:rsid w:val="00B47DFA"/>
    <w:rsid w:val="00B9014D"/>
    <w:rsid w:val="00B9165F"/>
    <w:rsid w:val="00B9507E"/>
    <w:rsid w:val="00BC1BB2"/>
    <w:rsid w:val="00BC37DB"/>
    <w:rsid w:val="00BC3B53"/>
    <w:rsid w:val="00BC3D04"/>
    <w:rsid w:val="00BC4AE3"/>
    <w:rsid w:val="00BF1BE1"/>
    <w:rsid w:val="00BF4427"/>
    <w:rsid w:val="00C07602"/>
    <w:rsid w:val="00C22F35"/>
    <w:rsid w:val="00C2399F"/>
    <w:rsid w:val="00C363C6"/>
    <w:rsid w:val="00C63BBA"/>
    <w:rsid w:val="00C64E34"/>
    <w:rsid w:val="00C8138E"/>
    <w:rsid w:val="00C85F95"/>
    <w:rsid w:val="00CB454D"/>
    <w:rsid w:val="00CE314D"/>
    <w:rsid w:val="00CF222D"/>
    <w:rsid w:val="00D037A9"/>
    <w:rsid w:val="00D058AA"/>
    <w:rsid w:val="00D15E82"/>
    <w:rsid w:val="00D17084"/>
    <w:rsid w:val="00D20C0E"/>
    <w:rsid w:val="00D342F4"/>
    <w:rsid w:val="00D35992"/>
    <w:rsid w:val="00D45413"/>
    <w:rsid w:val="00D4707D"/>
    <w:rsid w:val="00D60941"/>
    <w:rsid w:val="00D66E09"/>
    <w:rsid w:val="00D76C17"/>
    <w:rsid w:val="00D83B3F"/>
    <w:rsid w:val="00D86CC6"/>
    <w:rsid w:val="00D95FEC"/>
    <w:rsid w:val="00DB5607"/>
    <w:rsid w:val="00DC7B89"/>
    <w:rsid w:val="00DD4364"/>
    <w:rsid w:val="00DD7265"/>
    <w:rsid w:val="00DE160F"/>
    <w:rsid w:val="00DE1EF4"/>
    <w:rsid w:val="00DE7E30"/>
    <w:rsid w:val="00DF576B"/>
    <w:rsid w:val="00E072A5"/>
    <w:rsid w:val="00E11FDF"/>
    <w:rsid w:val="00E35CF4"/>
    <w:rsid w:val="00E43A91"/>
    <w:rsid w:val="00E46B18"/>
    <w:rsid w:val="00E529F5"/>
    <w:rsid w:val="00E5611B"/>
    <w:rsid w:val="00E71F59"/>
    <w:rsid w:val="00E76F0C"/>
    <w:rsid w:val="00E82F7C"/>
    <w:rsid w:val="00E848DC"/>
    <w:rsid w:val="00E87805"/>
    <w:rsid w:val="00E972A2"/>
    <w:rsid w:val="00EA56AD"/>
    <w:rsid w:val="00ED07A2"/>
    <w:rsid w:val="00ED6CFF"/>
    <w:rsid w:val="00EE3212"/>
    <w:rsid w:val="00EE340A"/>
    <w:rsid w:val="00EE6ACF"/>
    <w:rsid w:val="00EF135E"/>
    <w:rsid w:val="00EF2369"/>
    <w:rsid w:val="00F276D5"/>
    <w:rsid w:val="00F772F9"/>
    <w:rsid w:val="00F93A53"/>
    <w:rsid w:val="00FA7882"/>
    <w:rsid w:val="00FB1080"/>
    <w:rsid w:val="00FC273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2B025"/>
  <w15:docId w15:val="{ABE2F030-6E86-4220-B3F8-1E24DB17A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2"/>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character" w:customStyle="1" w:styleId="KoptekstChar">
    <w:name w:val="Koptekst Char"/>
    <w:basedOn w:val="Standaardalinea-lettertype"/>
    <w:link w:val="Koptekst"/>
    <w:rsid w:val="00841CD9"/>
    <w:rPr>
      <w:rFonts w:eastAsia="Times New Roman" w:cs="Times New Roman"/>
      <w:lang w:val="nl-NL" w:eastAsia="nl-NL"/>
    </w:rPr>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BallontekstChar">
    <w:name w:val="Ballontekst Char"/>
    <w:basedOn w:val="Standaardalinea-lettertype"/>
    <w:link w:val="Ballontekst"/>
    <w:semiHidden/>
    <w:rsid w:val="003A7160"/>
    <w:rPr>
      <w:rFonts w:ascii="Tahoma" w:eastAsia="Times New Roman" w:hAnsi="Tahoma" w:cs="Tahoma"/>
      <w:sz w:val="16"/>
      <w:szCs w:val="16"/>
      <w:lang w:val="nl-NL" w:eastAsia="nl-NL"/>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paragraph" w:customStyle="1" w:styleId="standaard-tekst">
    <w:name w:val="standaard-tekst"/>
    <w:basedOn w:val="Standaard"/>
    <w:uiPriority w:val="99"/>
    <w:rsid w:val="003A7160"/>
    <w:pPr>
      <w:spacing w:line="240" w:lineRule="auto"/>
    </w:pPr>
    <w:rPr>
      <w:sz w:val="20"/>
      <w:szCs w:val="20"/>
      <w:lang w:val="en-US" w:eastAsia="en-US"/>
    </w:rPr>
  </w:style>
  <w:style w:type="paragraph" w:customStyle="1" w:styleId="Normal0">
    <w:name w:val="Normal_0"/>
    <w:qFormat/>
    <w:rsid w:val="00A51E53"/>
  </w:style>
  <w:style w:type="paragraph" w:customStyle="1" w:styleId="Heading10">
    <w:name w:val="Heading 1_0"/>
    <w:basedOn w:val="Normal0"/>
    <w:next w:val="Normal0"/>
    <w:link w:val="Heading1Char"/>
    <w:qFormat/>
    <w:rsid w:val="00023E9A"/>
    <w:pPr>
      <w:keepNext/>
      <w:spacing w:before="240" w:after="60"/>
      <w:outlineLvl w:val="0"/>
    </w:pPr>
    <w:rPr>
      <w:rFonts w:cs="Arial"/>
      <w:b/>
      <w:bCs/>
      <w:kern w:val="32"/>
      <w:sz w:val="32"/>
      <w:szCs w:val="32"/>
    </w:rPr>
  </w:style>
  <w:style w:type="paragraph" w:customStyle="1" w:styleId="Heading20">
    <w:name w:val="Heading 2_0"/>
    <w:basedOn w:val="Normal0"/>
    <w:next w:val="Normal0"/>
    <w:link w:val="Heading2Char"/>
    <w:qFormat/>
    <w:rsid w:val="00023E9A"/>
    <w:pPr>
      <w:keepNext/>
      <w:spacing w:before="240" w:after="60"/>
      <w:outlineLvl w:val="1"/>
    </w:pPr>
    <w:rPr>
      <w:rFonts w:cs="Arial"/>
      <w:b/>
      <w:bCs/>
      <w:i/>
      <w:iCs/>
      <w:sz w:val="28"/>
      <w:szCs w:val="28"/>
    </w:rPr>
  </w:style>
  <w:style w:type="paragraph" w:customStyle="1" w:styleId="Heading30">
    <w:name w:val="Heading 3_0"/>
    <w:basedOn w:val="Normal0"/>
    <w:next w:val="Normal0"/>
    <w:link w:val="Heading3Char"/>
    <w:qFormat/>
    <w:rsid w:val="00023E9A"/>
    <w:pPr>
      <w:keepNext/>
      <w:spacing w:before="240" w:after="60"/>
      <w:outlineLvl w:val="2"/>
    </w:pPr>
    <w:rPr>
      <w:rFonts w:cs="Arial"/>
      <w:b/>
      <w:bCs/>
      <w:sz w:val="26"/>
      <w:szCs w:val="26"/>
    </w:rPr>
  </w:style>
  <w:style w:type="character" w:customStyle="1" w:styleId="DefaultParagraphFont0">
    <w:name w:val="Default Paragraph Font_0"/>
    <w:uiPriority w:val="1"/>
    <w:semiHidden/>
    <w:unhideWhenUsed/>
  </w:style>
  <w:style w:type="table" w:customStyle="1" w:styleId="TableNormal0">
    <w:name w:val="Table Normal_0"/>
    <w:uiPriority w:val="99"/>
    <w:semiHidden/>
    <w:unhideWhenUsed/>
    <w:tblPr>
      <w:tblInd w:w="0" w:type="dxa"/>
      <w:tblCellMar>
        <w:top w:w="0" w:type="dxa"/>
        <w:left w:w="108" w:type="dxa"/>
        <w:bottom w:w="0" w:type="dxa"/>
        <w:right w:w="108" w:type="dxa"/>
      </w:tblCellMar>
    </w:tblPr>
  </w:style>
  <w:style w:type="numbering" w:customStyle="1" w:styleId="NoList0">
    <w:name w:val="No List_0"/>
    <w:uiPriority w:val="99"/>
    <w:semiHidden/>
    <w:unhideWhenUsed/>
  </w:style>
  <w:style w:type="paragraph" w:customStyle="1" w:styleId="Header0">
    <w:name w:val="Header_0"/>
    <w:basedOn w:val="Normal0"/>
    <w:link w:val="HeaderChar"/>
    <w:rsid w:val="00023E9A"/>
    <w:pPr>
      <w:tabs>
        <w:tab w:val="center" w:pos="4536"/>
        <w:tab w:val="right" w:pos="9072"/>
      </w:tabs>
    </w:pPr>
  </w:style>
  <w:style w:type="paragraph" w:customStyle="1" w:styleId="Footer0">
    <w:name w:val="Footer_0"/>
    <w:basedOn w:val="Normal0"/>
    <w:link w:val="FooterChar"/>
    <w:rsid w:val="00023E9A"/>
    <w:pPr>
      <w:tabs>
        <w:tab w:val="center" w:pos="4536"/>
        <w:tab w:val="right" w:pos="9072"/>
      </w:tabs>
    </w:pPr>
  </w:style>
  <w:style w:type="table" w:customStyle="1" w:styleId="TableGrid0">
    <w:name w:val="Table Grid_0"/>
    <w:basedOn w:val="TableNormal0"/>
    <w:uiPriority w:val="59"/>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0">
    <w:name w:val="List Bullet_0"/>
    <w:basedOn w:val="Normal0"/>
    <w:rsid w:val="004F44C2"/>
    <w:pPr>
      <w:numPr>
        <w:numId w:val="3"/>
      </w:numPr>
    </w:pPr>
    <w:rPr>
      <w:noProof/>
    </w:rPr>
  </w:style>
  <w:style w:type="character" w:customStyle="1" w:styleId="FollowedHyperlink0">
    <w:name w:val="FollowedHyperlink_0"/>
    <w:rsid w:val="006A2100"/>
    <w:rPr>
      <w:color w:val="800080"/>
      <w:u w:val="single"/>
    </w:rPr>
  </w:style>
  <w:style w:type="paragraph" w:customStyle="1" w:styleId="ListBullet20">
    <w:name w:val="List Bullet 2_0"/>
    <w:basedOn w:val="Normal0"/>
    <w:rsid w:val="004F44C2"/>
    <w:pPr>
      <w:numPr>
        <w:numId w:val="4"/>
      </w:numPr>
      <w:tabs>
        <w:tab w:val="clear" w:pos="227"/>
        <w:tab w:val="left" w:pos="454"/>
      </w:tabs>
      <w:ind w:left="454" w:hanging="227"/>
    </w:pPr>
    <w:rPr>
      <w:noProof/>
    </w:rPr>
  </w:style>
  <w:style w:type="paragraph" w:customStyle="1" w:styleId="BalloonText0">
    <w:name w:val="Balloon Text_0"/>
    <w:basedOn w:val="Normal0"/>
    <w:link w:val="BalloonTextChar"/>
    <w:semiHidden/>
    <w:rsid w:val="00BF46B6"/>
    <w:rPr>
      <w:rFonts w:ascii="Tahoma" w:hAnsi="Tahoma" w:cs="Tahoma"/>
      <w:sz w:val="16"/>
      <w:szCs w:val="16"/>
    </w:rPr>
  </w:style>
  <w:style w:type="paragraph" w:customStyle="1" w:styleId="Heading40">
    <w:name w:val="Heading 4_0"/>
    <w:basedOn w:val="Normal0"/>
    <w:next w:val="Normal0"/>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customStyle="1" w:styleId="HeaderChar">
    <w:name w:val="Header Char"/>
    <w:basedOn w:val="DefaultParagraphFont0"/>
    <w:link w:val="Header0"/>
    <w:rsid w:val="00841CD9"/>
    <w:rPr>
      <w:rFonts w:eastAsia="Times New Roman" w:cs="Times New Roman"/>
      <w:lang w:val="nl-NL" w:eastAsia="nl-NL"/>
    </w:rPr>
  </w:style>
  <w:style w:type="character" w:customStyle="1" w:styleId="Heading1Char">
    <w:name w:val="Heading 1 Char"/>
    <w:basedOn w:val="DefaultParagraphFont0"/>
    <w:link w:val="Heading10"/>
    <w:rsid w:val="00841CD9"/>
    <w:rPr>
      <w:rFonts w:eastAsia="Times New Roman" w:cs="Arial"/>
      <w:b/>
      <w:bCs/>
      <w:kern w:val="32"/>
      <w:sz w:val="32"/>
      <w:szCs w:val="32"/>
      <w:lang w:val="nl-NL" w:eastAsia="nl-NL"/>
    </w:rPr>
  </w:style>
  <w:style w:type="character" w:customStyle="1" w:styleId="Heading2Char">
    <w:name w:val="Heading 2 Char"/>
    <w:basedOn w:val="DefaultParagraphFont0"/>
    <w:link w:val="Heading20"/>
    <w:rsid w:val="00841CD9"/>
    <w:rPr>
      <w:rFonts w:eastAsia="Times New Roman" w:cs="Arial"/>
      <w:b/>
      <w:bCs/>
      <w:i/>
      <w:iCs/>
      <w:sz w:val="28"/>
      <w:szCs w:val="28"/>
      <w:lang w:val="nl-NL" w:eastAsia="nl-NL"/>
    </w:rPr>
  </w:style>
  <w:style w:type="character" w:customStyle="1" w:styleId="Heading3Char">
    <w:name w:val="Heading 3 Char"/>
    <w:basedOn w:val="DefaultParagraphFont0"/>
    <w:link w:val="Heading30"/>
    <w:rsid w:val="00841CD9"/>
    <w:rPr>
      <w:rFonts w:eastAsia="Times New Roman" w:cs="Arial"/>
      <w:b/>
      <w:bCs/>
      <w:sz w:val="26"/>
      <w:szCs w:val="26"/>
      <w:lang w:val="nl-NL" w:eastAsia="nl-NL"/>
    </w:rPr>
  </w:style>
  <w:style w:type="character" w:customStyle="1" w:styleId="Heading4Char">
    <w:name w:val="Heading 4 Char"/>
    <w:basedOn w:val="DefaultParagraphFont0"/>
    <w:link w:val="Heading40"/>
    <w:uiPriority w:val="9"/>
    <w:rsid w:val="00841CD9"/>
    <w:rPr>
      <w:rFonts w:asciiTheme="majorHAnsi" w:eastAsiaTheme="majorEastAsia" w:hAnsiTheme="majorHAnsi" w:cstheme="majorBidi"/>
      <w:b/>
      <w:bCs/>
      <w:i/>
      <w:iCs/>
      <w:color w:val="4F81BD" w:themeColor="accent1"/>
    </w:rPr>
  </w:style>
  <w:style w:type="paragraph" w:customStyle="1" w:styleId="NormalIndent0">
    <w:name w:val="Normal Indent_0"/>
    <w:basedOn w:val="Normal0"/>
    <w:uiPriority w:val="99"/>
    <w:unhideWhenUsed/>
    <w:rsid w:val="00841CD9"/>
    <w:pPr>
      <w:ind w:left="720"/>
    </w:pPr>
  </w:style>
  <w:style w:type="paragraph" w:customStyle="1" w:styleId="Subtitle0">
    <w:name w:val="Subtitle_0"/>
    <w:basedOn w:val="Normal0"/>
    <w:next w:val="Normal0"/>
    <w:link w:val="SubtitleChar"/>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0"/>
    <w:link w:val="Subtitle0"/>
    <w:uiPriority w:val="11"/>
    <w:rsid w:val="00841CD9"/>
    <w:rPr>
      <w:rFonts w:asciiTheme="majorHAnsi" w:eastAsiaTheme="majorEastAsia" w:hAnsiTheme="majorHAnsi" w:cstheme="majorBidi"/>
      <w:i/>
      <w:iCs/>
      <w:color w:val="4F81BD" w:themeColor="accent1"/>
      <w:spacing w:val="15"/>
      <w:sz w:val="24"/>
      <w:szCs w:val="24"/>
    </w:rPr>
  </w:style>
  <w:style w:type="paragraph" w:customStyle="1" w:styleId="Title0">
    <w:name w:val="Title_0"/>
    <w:basedOn w:val="Normal0"/>
    <w:next w:val="Normal0"/>
    <w:link w:val="Title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0"/>
    <w:link w:val="Title0"/>
    <w:uiPriority w:val="10"/>
    <w:rsid w:val="00841CD9"/>
    <w:rPr>
      <w:rFonts w:asciiTheme="majorHAnsi" w:eastAsiaTheme="majorEastAsia" w:hAnsiTheme="majorHAnsi" w:cstheme="majorBidi"/>
      <w:color w:val="17365D" w:themeColor="text2" w:themeShade="BF"/>
      <w:spacing w:val="5"/>
      <w:kern w:val="28"/>
      <w:sz w:val="52"/>
      <w:szCs w:val="52"/>
    </w:rPr>
  </w:style>
  <w:style w:type="character" w:customStyle="1" w:styleId="Emphasis0">
    <w:name w:val="Emphasis_0"/>
    <w:basedOn w:val="DefaultParagraphFont0"/>
    <w:uiPriority w:val="20"/>
    <w:qFormat/>
    <w:rsid w:val="00D1197D"/>
    <w:rPr>
      <w:i/>
      <w:iCs/>
    </w:rPr>
  </w:style>
  <w:style w:type="character" w:customStyle="1" w:styleId="BalloonTextChar">
    <w:name w:val="Balloon Text Char"/>
    <w:basedOn w:val="DefaultParagraphFont0"/>
    <w:link w:val="BalloonText0"/>
    <w:semiHidden/>
    <w:rsid w:val="003A7160"/>
    <w:rPr>
      <w:rFonts w:ascii="Tahoma" w:eastAsia="Times New Roman" w:hAnsi="Tahoma" w:cs="Tahoma"/>
      <w:sz w:val="16"/>
      <w:szCs w:val="16"/>
      <w:lang w:val="nl-NL" w:eastAsia="nl-NL"/>
    </w:rPr>
  </w:style>
  <w:style w:type="character" w:customStyle="1" w:styleId="FooterChar">
    <w:name w:val="Footer Char"/>
    <w:basedOn w:val="DefaultParagraphFont0"/>
    <w:link w:val="Footer0"/>
    <w:rsid w:val="003A7160"/>
    <w:rPr>
      <w:rFonts w:eastAsia="Times New Roman" w:cs="Times New Roman"/>
      <w:lang w:val="nl-NL" w:eastAsia="nl-NL"/>
    </w:rPr>
  </w:style>
  <w:style w:type="character" w:styleId="Verwijzingopmerking">
    <w:name w:val="annotation reference"/>
    <w:basedOn w:val="Standaardalinea-lettertype"/>
    <w:uiPriority w:val="99"/>
    <w:rsid w:val="00691AAB"/>
    <w:rPr>
      <w:sz w:val="16"/>
      <w:szCs w:val="16"/>
    </w:rPr>
  </w:style>
  <w:style w:type="paragraph" w:styleId="Tekstopmerking">
    <w:name w:val="annotation text"/>
    <w:basedOn w:val="Standaard"/>
    <w:link w:val="TekstopmerkingChar"/>
    <w:uiPriority w:val="99"/>
    <w:rsid w:val="00691AAB"/>
    <w:pPr>
      <w:spacing w:line="240" w:lineRule="auto"/>
    </w:pPr>
    <w:rPr>
      <w:sz w:val="20"/>
      <w:szCs w:val="20"/>
    </w:rPr>
  </w:style>
  <w:style w:type="character" w:customStyle="1" w:styleId="TekstopmerkingChar">
    <w:name w:val="Tekst opmerking Char"/>
    <w:basedOn w:val="Standaardalinea-lettertype"/>
    <w:link w:val="Tekstopmerking"/>
    <w:uiPriority w:val="99"/>
    <w:rsid w:val="00691AAB"/>
    <w:rPr>
      <w:rFonts w:ascii="Verdana" w:hAnsi="Verdana"/>
      <w:lang w:val="nl-NL" w:eastAsia="nl-NL"/>
    </w:rPr>
  </w:style>
  <w:style w:type="paragraph" w:styleId="Onderwerpvanopmerking">
    <w:name w:val="annotation subject"/>
    <w:basedOn w:val="Tekstopmerking"/>
    <w:next w:val="Tekstopmerking"/>
    <w:link w:val="OnderwerpvanopmerkingChar"/>
    <w:rsid w:val="00691AAB"/>
    <w:rPr>
      <w:b/>
      <w:bCs/>
    </w:rPr>
  </w:style>
  <w:style w:type="character" w:customStyle="1" w:styleId="OnderwerpvanopmerkingChar">
    <w:name w:val="Onderwerp van opmerking Char"/>
    <w:basedOn w:val="TekstopmerkingChar"/>
    <w:link w:val="Onderwerpvanopmerking"/>
    <w:rsid w:val="00691AAB"/>
    <w:rPr>
      <w:rFonts w:ascii="Verdana" w:hAnsi="Verdana"/>
      <w:b/>
      <w:bCs/>
      <w:lang w:val="nl-NL" w:eastAsia="nl-NL"/>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
    <w:basedOn w:val="Standaard"/>
    <w:link w:val="LijstalineaChar"/>
    <w:uiPriority w:val="34"/>
    <w:qFormat/>
    <w:rsid w:val="00DF576B"/>
    <w:pPr>
      <w:spacing w:line="240" w:lineRule="auto"/>
      <w:ind w:left="720"/>
    </w:pPr>
    <w:rPr>
      <w:rFonts w:ascii="Calibri" w:eastAsiaTheme="minorHAnsi" w:hAnsi="Calibri"/>
      <w:sz w:val="22"/>
      <w:szCs w:val="22"/>
      <w:lang w:eastAsia="en-US"/>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
    <w:basedOn w:val="Standaardalinea-lettertype"/>
    <w:link w:val="Lijstalinea"/>
    <w:uiPriority w:val="34"/>
    <w:qFormat/>
    <w:locked/>
    <w:rsid w:val="00DF576B"/>
    <w:rPr>
      <w:rFonts w:ascii="Calibri" w:eastAsiaTheme="minorHAnsi" w:hAnsi="Calibri"/>
      <w:sz w:val="22"/>
      <w:szCs w:val="22"/>
      <w:lang w:val="nl-NL"/>
    </w:rPr>
  </w:style>
  <w:style w:type="paragraph" w:styleId="Voetnoottekst">
    <w:name w:val="footnote text"/>
    <w:basedOn w:val="Standaard"/>
    <w:link w:val="VoetnoottekstChar"/>
    <w:rsid w:val="00C363C6"/>
    <w:pPr>
      <w:spacing w:line="240" w:lineRule="auto"/>
    </w:pPr>
    <w:rPr>
      <w:sz w:val="20"/>
      <w:szCs w:val="20"/>
    </w:rPr>
  </w:style>
  <w:style w:type="character" w:customStyle="1" w:styleId="VoetnoottekstChar">
    <w:name w:val="Voetnoottekst Char"/>
    <w:basedOn w:val="Standaardalinea-lettertype"/>
    <w:link w:val="Voetnoottekst"/>
    <w:rsid w:val="00C363C6"/>
    <w:rPr>
      <w:rFonts w:ascii="Verdana" w:hAnsi="Verdana"/>
      <w:lang w:val="nl-NL" w:eastAsia="nl-NL"/>
    </w:rPr>
  </w:style>
  <w:style w:type="character" w:styleId="Voetnootmarkering">
    <w:name w:val="footnote reference"/>
    <w:basedOn w:val="Standaardalinea-lettertype"/>
    <w:rsid w:val="00C363C6"/>
    <w:rPr>
      <w:vertAlign w:val="superscript"/>
    </w:rPr>
  </w:style>
  <w:style w:type="paragraph" w:styleId="Revisie">
    <w:name w:val="Revision"/>
    <w:hidden/>
    <w:uiPriority w:val="99"/>
    <w:semiHidden/>
    <w:rsid w:val="003C3089"/>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6291599">
      <w:bodyDiv w:val="1"/>
      <w:marLeft w:val="0"/>
      <w:marRight w:val="0"/>
      <w:marTop w:val="0"/>
      <w:marBottom w:val="0"/>
      <w:divBdr>
        <w:top w:val="none" w:sz="0" w:space="0" w:color="auto"/>
        <w:left w:val="none" w:sz="0" w:space="0" w:color="auto"/>
        <w:bottom w:val="none" w:sz="0" w:space="0" w:color="auto"/>
        <w:right w:val="none" w:sz="0" w:space="0" w:color="auto"/>
      </w:divBdr>
    </w:div>
    <w:div w:id="1841235370">
      <w:bodyDiv w:val="1"/>
      <w:marLeft w:val="0"/>
      <w:marRight w:val="0"/>
      <w:marTop w:val="0"/>
      <w:marBottom w:val="0"/>
      <w:divBdr>
        <w:top w:val="none" w:sz="0" w:space="0" w:color="auto"/>
        <w:left w:val="none" w:sz="0" w:space="0" w:color="auto"/>
        <w:bottom w:val="none" w:sz="0" w:space="0" w:color="auto"/>
        <w:right w:val="none" w:sz="0" w:space="0" w:color="auto"/>
      </w:divBdr>
    </w:div>
    <w:div w:id="18458514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vsnu.nl/kwaliteitsafspraken.html" TargetMode="External"/><Relationship Id="rId1" Type="http://schemas.openxmlformats.org/officeDocument/2006/relationships/hyperlink" Target="https://rijksoverheid.nl/kwaliteitsafspraken-hoger-onderwij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C212A4D82C434299A1C227D9AD5565" ma:contentTypeVersion="8" ma:contentTypeDescription="Create a new document." ma:contentTypeScope="" ma:versionID="661d58d5b10ef297a34e1e02206268ca">
  <xsd:schema xmlns:xsd="http://www.w3.org/2001/XMLSchema" xmlns:xs="http://www.w3.org/2001/XMLSchema" xmlns:p="http://schemas.microsoft.com/office/2006/metadata/properties" xmlns:ns3="c298973a-b887-4643-967a-ac5f010b857e" targetNamespace="http://schemas.microsoft.com/office/2006/metadata/properties" ma:root="true" ma:fieldsID="6b6cf82615dd831f8970791542298ad6" ns3:_="">
    <xsd:import namespace="c298973a-b887-4643-967a-ac5f010b857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98973a-b887-4643-967a-ac5f010b85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BC5329-2FCE-4BEC-8108-F02FB0D5C2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98973a-b887-4643-967a-ac5f010b85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969F52-D38F-4B76-8D98-A46872AFD133}">
  <ds:schemaRefs>
    <ds:schemaRef ds:uri="http://schemas.microsoft.com/sharepoint/v3/contenttype/forms"/>
  </ds:schemaRefs>
</ds:datastoreItem>
</file>

<file path=customXml/itemProps3.xml><?xml version="1.0" encoding="utf-8"?>
<ds:datastoreItem xmlns:ds="http://schemas.openxmlformats.org/officeDocument/2006/customXml" ds:itemID="{40CB27AF-A269-4EB5-BEFF-9E13FAAB720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EF72BDF-1DA7-4649-9638-037773001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2615</Words>
  <Characters>14388</Characters>
  <Application>Microsoft Office Word</Application>
  <DocSecurity>4</DocSecurity>
  <Lines>119</Lines>
  <Paragraphs>33</Paragraphs>
  <ScaleCrop>false</ScaleCrop>
  <HeadingPairs>
    <vt:vector size="2" baseType="variant">
      <vt:variant>
        <vt:lpstr>Titel</vt:lpstr>
      </vt:variant>
      <vt:variant>
        <vt:i4>1</vt:i4>
      </vt:variant>
    </vt:vector>
  </HeadingPairs>
  <TitlesOfParts>
    <vt:vector size="1" baseType="lpstr">
      <vt:lpstr/>
    </vt:vector>
  </TitlesOfParts>
  <Company>Ministerie van OCW</Company>
  <LinksUpToDate>false</LinksUpToDate>
  <CharactersWithSpaces>16970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docx4j</dc:creator>
  <cp:lastModifiedBy>M. Schooleman</cp:lastModifiedBy>
  <cp:revision>2</cp:revision>
  <cp:lastPrinted>2019-11-01T15:05:00Z</cp:lastPrinted>
  <dcterms:created xsi:type="dcterms:W3CDTF">2019-11-05T08:43:00Z</dcterms:created>
  <dcterms:modified xsi:type="dcterms:W3CDTF">2019-11-05T08:43:00Z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o203hes</vt:lpwstr>
  </property>
  <property fmtid="{D5CDD505-2E9C-101B-9397-08002B2CF9AE}" pid="3" name="cs_objectid">
    <vt:lpwstr/>
  </property>
  <property fmtid="{D5CDD505-2E9C-101B-9397-08002B2CF9AE}" pid="4" name="ocw_betreft">
    <vt:lpwstr>Besteding opbrengsten leenstelsel en stand van zaken kwaliteitsafspraken</vt:lpwstr>
  </property>
  <property fmtid="{D5CDD505-2E9C-101B-9397-08002B2CF9AE}" pid="5" name="ocw_directie">
    <vt:lpwstr>HO&amp;S</vt:lpwstr>
  </property>
  <property fmtid="{D5CDD505-2E9C-101B-9397-08002B2CF9AE}" pid="6" name="ocw_naw_adres">
    <vt:lpwstr>Postbus</vt:lpwstr>
  </property>
  <property fmtid="{D5CDD505-2E9C-101B-9397-08002B2CF9AE}" pid="7" name="ocw_naw_huisnr">
    <vt:lpwstr>20018</vt:lpwstr>
  </property>
  <property fmtid="{D5CDD505-2E9C-101B-9397-08002B2CF9AE}" pid="8" name="ocw_naw_naam">
    <vt:lpwstr/>
  </property>
  <property fmtid="{D5CDD505-2E9C-101B-9397-08002B2CF9AE}" pid="9" name="ocw_naw_org">
    <vt:lpwstr>De voorzitter van de Tweede kamer der Staten-Generaal</vt:lpwstr>
  </property>
  <property fmtid="{D5CDD505-2E9C-101B-9397-08002B2CF9AE}" pid="10" name="ocw_naw_postc">
    <vt:lpwstr>2500 EA</vt:lpwstr>
  </property>
  <property fmtid="{D5CDD505-2E9C-101B-9397-08002B2CF9AE}" pid="11" name="ocw_naw_titela">
    <vt:lpwstr/>
  </property>
  <property fmtid="{D5CDD505-2E9C-101B-9397-08002B2CF9AE}" pid="12" name="ocw_naw_titelv">
    <vt:lpwstr/>
  </property>
  <property fmtid="{D5CDD505-2E9C-101B-9397-08002B2CF9AE}" pid="13" name="ocw_naw_tussen">
    <vt:lpwstr/>
  </property>
  <property fmtid="{D5CDD505-2E9C-101B-9397-08002B2CF9AE}" pid="14" name="ocw_naw_vrltrs">
    <vt:lpwstr/>
  </property>
  <property fmtid="{D5CDD505-2E9C-101B-9397-08002B2CF9AE}" pid="15" name="ocw_naw_woonplaats">
    <vt:lpwstr>Den Haag</vt:lpwstr>
  </property>
  <property fmtid="{D5CDD505-2E9C-101B-9397-08002B2CF9AE}" pid="16" name="sjabloon.edocs.documenttype">
    <vt:lpwstr>BRIEF</vt:lpwstr>
  </property>
  <property fmtid="{D5CDD505-2E9C-101B-9397-08002B2CF9AE}" pid="17" name="sjabloon.edocs.richting">
    <vt:lpwstr>UITGAAND</vt:lpwstr>
  </property>
  <property fmtid="{D5CDD505-2E9C-101B-9397-08002B2CF9AE}" pid="18" name="ContentTypeId">
    <vt:lpwstr>0x01010023C212A4D82C434299A1C227D9AD5565</vt:lpwstr>
  </property>
</Properties>
</file>